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B09B8">
      <w:pPr>
        <w:spacing w:line="360" w:lineRule="auto"/>
        <w:rPr>
          <w:rFonts w:ascii="仿宋_GB2312" w:eastAsia="仿宋_GB2312"/>
          <w:sz w:val="44"/>
          <w:szCs w:val="44"/>
        </w:rPr>
      </w:pPr>
    </w:p>
    <w:p w14:paraId="75AC4B7B">
      <w:pPr>
        <w:spacing w:line="360" w:lineRule="auto"/>
        <w:rPr>
          <w:rFonts w:ascii="仿宋_GB2312" w:eastAsia="仿宋_GB2312"/>
          <w:sz w:val="44"/>
          <w:szCs w:val="44"/>
        </w:rPr>
      </w:pPr>
    </w:p>
    <w:p w14:paraId="3CC17187">
      <w:pPr>
        <w:spacing w:line="360" w:lineRule="auto"/>
        <w:rPr>
          <w:rFonts w:ascii="仿宋_GB2312" w:eastAsia="仿宋_GB2312"/>
          <w:sz w:val="44"/>
          <w:szCs w:val="44"/>
        </w:rPr>
      </w:pPr>
    </w:p>
    <w:p w14:paraId="091801B2">
      <w:pPr>
        <w:spacing w:line="360" w:lineRule="auto"/>
        <w:rPr>
          <w:rFonts w:ascii="仿宋_GB2312" w:eastAsia="仿宋_GB2312"/>
          <w:sz w:val="44"/>
          <w:szCs w:val="44"/>
        </w:rPr>
      </w:pPr>
    </w:p>
    <w:p w14:paraId="7EDC504D">
      <w:pPr>
        <w:pStyle w:val="6"/>
        <w:keepNext w:val="0"/>
        <w:keepLines w:val="0"/>
        <w:widowControl/>
        <w:suppressLineNumbers w:val="0"/>
        <w:spacing w:before="0" w:beforeAutospacing="0" w:after="0" w:afterAutospacing="0"/>
        <w:ind w:left="0" w:right="0" w:firstLine="0"/>
        <w:jc w:val="center"/>
      </w:pPr>
      <w:r>
        <w:rPr>
          <w:rFonts w:hint="default" w:ascii="宋体" w:hAnsi="宋体" w:eastAsia="宋体" w:cs="Times New Roman"/>
          <w:sz w:val="44"/>
          <w:szCs w:val="44"/>
          <w:highlight w:val="none"/>
          <w:lang w:eastAsia="zh-CN"/>
        </w:rPr>
        <w:t>深圳市</w:t>
      </w:r>
      <w:r>
        <w:rPr>
          <w:rFonts w:hint="eastAsia" w:cs="Times New Roman"/>
          <w:sz w:val="44"/>
          <w:szCs w:val="44"/>
          <w:highlight w:val="none"/>
          <w:lang w:val="en-US" w:eastAsia="zh-CN"/>
        </w:rPr>
        <w:t>第二高级中学</w:t>
      </w:r>
      <w:r>
        <w:rPr>
          <w:rFonts w:ascii="宋体" w:hAnsi="宋体" w:eastAsia="宋体" w:cs="Times New Roman"/>
          <w:sz w:val="44"/>
          <w:szCs w:val="44"/>
          <w:highlight w:val="none"/>
        </w:rPr>
        <w:t>2023年度部门整体支出绩效自评报告</w:t>
      </w:r>
    </w:p>
    <w:p w14:paraId="5BC4FF87">
      <w:pPr>
        <w:spacing w:line="360" w:lineRule="auto"/>
        <w:rPr>
          <w:rFonts w:ascii="仿宋_GB2312" w:eastAsia="仿宋_GB2312"/>
          <w:sz w:val="32"/>
          <w:szCs w:val="32"/>
        </w:rPr>
      </w:pPr>
    </w:p>
    <w:p w14:paraId="5EACFB9E">
      <w:pPr>
        <w:spacing w:line="360" w:lineRule="auto"/>
        <w:rPr>
          <w:rFonts w:ascii="仿宋_GB2312" w:eastAsia="仿宋_GB2312"/>
          <w:sz w:val="32"/>
          <w:szCs w:val="32"/>
        </w:rPr>
      </w:pPr>
    </w:p>
    <w:p w14:paraId="612DA905">
      <w:pPr>
        <w:spacing w:line="360" w:lineRule="auto"/>
        <w:rPr>
          <w:rFonts w:ascii="仿宋_GB2312" w:eastAsia="仿宋_GB2312"/>
          <w:sz w:val="32"/>
          <w:szCs w:val="32"/>
        </w:rPr>
      </w:pPr>
    </w:p>
    <w:p w14:paraId="1DFB2784">
      <w:pPr>
        <w:spacing w:line="360" w:lineRule="auto"/>
        <w:rPr>
          <w:rFonts w:ascii="仿宋_GB2312" w:eastAsia="仿宋_GB2312"/>
          <w:sz w:val="32"/>
          <w:szCs w:val="32"/>
        </w:rPr>
      </w:pPr>
    </w:p>
    <w:p w14:paraId="759D5326">
      <w:pPr>
        <w:spacing w:line="360" w:lineRule="auto"/>
        <w:rPr>
          <w:rFonts w:ascii="仿宋_GB2312" w:eastAsia="仿宋_GB2312"/>
          <w:sz w:val="32"/>
          <w:szCs w:val="32"/>
        </w:rPr>
      </w:pPr>
    </w:p>
    <w:p w14:paraId="078920E7">
      <w:pPr>
        <w:spacing w:line="360" w:lineRule="auto"/>
        <w:rPr>
          <w:rFonts w:ascii="仿宋_GB2312" w:eastAsia="仿宋_GB2312"/>
          <w:sz w:val="32"/>
          <w:szCs w:val="32"/>
        </w:rPr>
      </w:pPr>
    </w:p>
    <w:p w14:paraId="21D13BA4">
      <w:pPr>
        <w:spacing w:line="360" w:lineRule="auto"/>
        <w:rPr>
          <w:rFonts w:ascii="仿宋_GB2312" w:eastAsia="仿宋_GB2312"/>
          <w:sz w:val="32"/>
          <w:szCs w:val="32"/>
        </w:rPr>
      </w:pPr>
    </w:p>
    <w:p w14:paraId="07A38816">
      <w:pPr>
        <w:spacing w:line="360" w:lineRule="auto"/>
        <w:rPr>
          <w:rFonts w:ascii="仿宋_GB2312" w:eastAsia="仿宋_GB2312"/>
          <w:sz w:val="32"/>
          <w:szCs w:val="32"/>
        </w:rPr>
      </w:pPr>
    </w:p>
    <w:p w14:paraId="79A91824">
      <w:pPr>
        <w:spacing w:line="360" w:lineRule="auto"/>
        <w:rPr>
          <w:rFonts w:ascii="仿宋_GB2312" w:eastAsia="仿宋_GB2312"/>
          <w:sz w:val="32"/>
          <w:szCs w:val="32"/>
        </w:rPr>
      </w:pPr>
    </w:p>
    <w:p w14:paraId="4BD99536">
      <w:pPr>
        <w:spacing w:line="360" w:lineRule="auto"/>
        <w:rPr>
          <w:rFonts w:ascii="仿宋_GB2312" w:eastAsia="仿宋_GB2312"/>
          <w:sz w:val="32"/>
          <w:szCs w:val="32"/>
        </w:rPr>
      </w:pPr>
    </w:p>
    <w:p w14:paraId="442ECBCC">
      <w:pPr>
        <w:spacing w:line="360" w:lineRule="auto"/>
        <w:rPr>
          <w:rFonts w:ascii="仿宋_GB2312" w:eastAsia="仿宋_GB2312"/>
          <w:sz w:val="32"/>
          <w:szCs w:val="32"/>
        </w:rPr>
      </w:pPr>
    </w:p>
    <w:p w14:paraId="7C6F78FC">
      <w:pPr>
        <w:spacing w:line="360" w:lineRule="auto"/>
        <w:rPr>
          <w:rFonts w:ascii="仿宋_GB2312" w:eastAsia="仿宋_GB2312"/>
          <w:sz w:val="32"/>
          <w:szCs w:val="32"/>
        </w:rPr>
      </w:pPr>
    </w:p>
    <w:p w14:paraId="2795685C">
      <w:pPr>
        <w:spacing w:line="360" w:lineRule="auto"/>
        <w:rPr>
          <w:rFonts w:ascii="仿宋_GB2312" w:eastAsia="仿宋_GB2312"/>
          <w:sz w:val="32"/>
          <w:szCs w:val="32"/>
        </w:rPr>
      </w:pPr>
    </w:p>
    <w:p w14:paraId="3977163B">
      <w:pPr>
        <w:spacing w:line="360" w:lineRule="auto"/>
        <w:rPr>
          <w:rFonts w:ascii="仿宋_GB2312" w:eastAsia="仿宋_GB2312"/>
          <w:sz w:val="32"/>
          <w:szCs w:val="32"/>
        </w:rPr>
      </w:pPr>
    </w:p>
    <w:p w14:paraId="1509DF27">
      <w:pPr>
        <w:spacing w:line="360" w:lineRule="auto"/>
        <w:rPr>
          <w:rFonts w:ascii="仿宋_GB2312" w:eastAsia="仿宋_GB2312"/>
          <w:sz w:val="32"/>
          <w:szCs w:val="32"/>
        </w:rPr>
      </w:pPr>
    </w:p>
    <w:p w14:paraId="66A8988B">
      <w:pPr>
        <w:spacing w:line="360" w:lineRule="auto"/>
        <w:rPr>
          <w:rFonts w:ascii="仿宋_GB2312" w:eastAsia="仿宋_GB2312"/>
          <w:sz w:val="32"/>
          <w:szCs w:val="32"/>
        </w:rPr>
      </w:pPr>
    </w:p>
    <w:p w14:paraId="15D16993">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一、部门基本情况</w:t>
      </w:r>
    </w:p>
    <w:p w14:paraId="32982AAF">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410" w:leftChars="0" w:firstLine="640" w:firstLineChars="0"/>
        <w:textAlignment w:val="auto"/>
        <w:rPr>
          <w:rFonts w:hint="eastAsia" w:ascii="仿宋_GB2312" w:hAnsi="Adobe 楷体 Std R" w:eastAsia="仿宋_GB2312"/>
          <w:color w:val="000000"/>
          <w:sz w:val="32"/>
          <w:szCs w:val="32"/>
        </w:rPr>
      </w:pPr>
      <w:r>
        <w:rPr>
          <w:rFonts w:hint="eastAsia" w:ascii="仿宋_GB2312" w:hAnsi="Adobe 楷体 Std R" w:eastAsia="仿宋_GB2312"/>
          <w:b/>
          <w:bCs/>
          <w:color w:val="000000"/>
          <w:sz w:val="32"/>
          <w:szCs w:val="32"/>
        </w:rPr>
        <w:t>部门主要职能。</w:t>
      </w:r>
    </w:p>
    <w:p w14:paraId="7A5E4FA7">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深圳市第二高级中学（以下简称“我校”）是深圳市教育局直属学校，是一所现代化的大型寄宿制公办高中，广东省一级学校、广东省国家级示范性普通高中。我校极力营造“勤勉笃行、创新卓越”的校风，秉承“厚德精业、智慧博学”的教风，树立“明志笃学，诚信自律”的学风，致力成为一所育人环境优美、教学设施先进、教学管理规范、科研气氛浓厚、师资队伍精良、学生发展主动、办学效益突出的示范性普通中学。我校的主要职能：实施高中学历教育，促进基础教育发展；负责中小学艺术教育基地的场地及其设备设施的管理、维护工作；承办全市中小学校文艺演出、作品展览等活动。</w:t>
      </w:r>
    </w:p>
    <w:p w14:paraId="4901886E">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410" w:leftChars="0" w:firstLine="640" w:firstLine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年度总体工作和重点工作任务。</w:t>
      </w:r>
    </w:p>
    <w:p w14:paraId="3C236DB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420" w:leftChars="200" w:right="0" w:rightChars="0" w:firstLine="640"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年度总体工作</w:t>
      </w:r>
    </w:p>
    <w:p w14:paraId="29A82D52">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2023年，我校的总体工作要求是：立德树人，培养德、智、体、美全面发展的社会主义建设者和接班人；强化党建工作，发挥政治统领作用，确保学校各项工作的正确方向和落实；推进科学研究，提高学校的学术水平和创新能力；加强工会工作，关心教职工的权益和福利待遇。
</w:t>
      </w:r>
    </w:p>
    <w:p w14:paraId="436DDFE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420" w:leftChars="200" w:right="0" w:rightChars="0" w:firstLine="640" w:firstLineChars="200"/>
        <w:jc w:val="both"/>
        <w:textAlignment w:val="auto"/>
        <w:outlineLvl w:val="2"/>
        <w:rPr>
          <w:rFonts w:hint="eastAsia" w:ascii="仿宋_GB2312" w:hAnsi="仿宋_GB2312" w:eastAsia="仿宋_GB2312" w:cs="仿宋_GB2312"/>
          <w:b/>
          <w:bCs/>
          <w:color w:val="auto"/>
          <w:sz w:val="32"/>
          <w:szCs w:val="32"/>
          <w:highlight w:val="none"/>
          <w:lang w:val="en-US" w:eastAsia="zh-CN"/>
        </w:rPr>
      </w:pPr>
      <w:r>
        <w:rPr>
          <w:rFonts w:hint="default" w:ascii="仿宋_GB2312" w:hAnsi="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lang w:val="en-US" w:eastAsia="zh-Hans"/>
        </w:rPr>
        <w:t>.</w:t>
      </w:r>
      <w:r>
        <w:rPr>
          <w:rFonts w:hint="eastAsia" w:ascii="仿宋_GB2312" w:hAnsi="仿宋_GB2312" w:eastAsia="仿宋_GB2312" w:cs="仿宋_GB2312"/>
          <w:b/>
          <w:bCs/>
          <w:color w:val="auto"/>
          <w:sz w:val="32"/>
          <w:szCs w:val="32"/>
          <w:highlight w:val="none"/>
          <w:lang w:val="en-US" w:eastAsia="zh-CN"/>
        </w:rPr>
        <w:t>重点工作任务</w:t>
      </w:r>
    </w:p>
    <w:p w14:paraId="4B47EB10">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重点工作任务主要包括（1）扎实开展主题教育，凝心铸魂筑牢根本；（2）重点先行，构建机制，着眼长效；（3）立德树人，服务大局，高位发展；（4）校园改造升级，旧貌变换新颜；（5）食堂自主经营，舌尖安全严控；（6）做好学校内控工作，促进学校管理规范化。</w:t>
      </w:r>
    </w:p>
    <w:p w14:paraId="53FB32A0">
      <w:pPr>
        <w:keepNext w:val="0"/>
        <w:keepLines w:val="0"/>
        <w:pageBreakBefore w:val="0"/>
        <w:widowControl w:val="0"/>
        <w:numPr>
          <w:ilvl w:val="0"/>
          <w:numId w:val="1"/>
        </w:numPr>
        <w:kinsoku/>
        <w:wordWrap/>
        <w:overflowPunct/>
        <w:topLinePunct w:val="0"/>
        <w:autoSpaceDE/>
        <w:autoSpaceDN/>
        <w:bidi w:val="0"/>
        <w:adjustRightInd/>
        <w:snapToGrid w:val="0"/>
        <w:spacing w:line="580" w:lineRule="exact"/>
        <w:ind w:left="410" w:leftChars="0" w:firstLine="64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2023</w:t>
      </w:r>
      <w:r>
        <w:rPr>
          <w:rFonts w:hint="eastAsia" w:ascii="仿宋_GB2312" w:hAnsi="仿宋_GB2312" w:eastAsia="仿宋_GB2312" w:cs="仿宋_GB2312"/>
          <w:b/>
          <w:bCs/>
          <w:sz w:val="32"/>
          <w:szCs w:val="32"/>
        </w:rPr>
        <w:t>年部门预算编制情况。</w:t>
      </w:r>
    </w:p>
    <w:p w14:paraId="0914EF9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预算编制情况。2023年我校根据学校职责，按照《中华人民共和国预算法》、上级主管部门文件精神，结合我校中长期发展规划、年度工作计划和2023年度部门预算编制要求，开展预算编制工作。我校2023年度年初预算总规模为16,185.81万元，在实际工作开展过程中，我校根据部门履职需要及项目实施情况对预算资金进行申报调整，经批准我校整体支出预算规模调整为16,267.53万元。我校预算编制符合市财政2023年度有关预算编制的原则，有效保障预算编制合理性。一是功能分类和经济分类编制准确；二是部门预算分配不固化，能根据实际情况合理调整。综上，我校部门预算编制合理、规范。
</w:t>
      </w:r>
    </w:p>
    <w:p w14:paraId="411C19D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ascii="仿宋_GB2312" w:hAnsi="仿宋_GB2312" w:eastAsia="仿宋_GB2312" w:cs="仿宋_GB2312"/>
          <w:sz w:val="32"/>
          <w:szCs w:val="32"/>
        </w:rPr>
      </w:pPr>
      <w:r>
        <w:rPr>
          <w:rFonts w:hint="eastAsia" w:ascii="仿宋_GB2312" w:hAnsi="Adobe 楷体 Std R" w:eastAsia="仿宋_GB2312"/>
          <w:color w:val="000000"/>
          <w:sz w:val="32"/>
          <w:szCs w:val="32"/>
          <w:lang w:val="en-US" w:eastAsia="zh-CN"/>
        </w:rPr>
        <w:t>2.绩效目标设置情况。我校根据市财政和市教育局有关文件要求，组织各相关负责人编报了部门整体支出和项目支出的绩效目标，各项目分别从数量、质量、时效与效果等不同方面，将项目年度任务分解为绩效指标，每条指标基于2023年预算资金用途设置，与预算资金量相匹配，绩效目标设置完整，且绩效指标明确、清晰、可衡量。在绩效指标设置方面，我校设置的绩效指标细化量化。一是绩效指标将部门整体绩效目标细化分解为具体工作任务，与部门年度任务数或计划数相对应；二是绩效指标包含可量化的指标，如“开设教学班级数量≥60个”等；三是绩效目标的目标值测算根据我校以往工作经验及工作计划进行测算，能提供相关依据或符合客观实际情况。</w:t>
      </w:r>
    </w:p>
    <w:p w14:paraId="69298380">
      <w:pPr>
        <w:numPr>
          <w:ilvl w:val="0"/>
          <w:numId w:val="1"/>
        </w:numPr>
        <w:snapToGrid w:val="0"/>
        <w:spacing w:line="580" w:lineRule="exact"/>
        <w:ind w:left="410" w:leftChars="0" w:firstLine="420" w:firstLineChars="0"/>
        <w:rPr>
          <w:rFonts w:hint="eastAsia" w:ascii="仿宋_GB2312" w:hAnsi="楷体_GB2312" w:eastAsia="仿宋_GB2312" w:cs="楷体_GB2312"/>
          <w:bCs/>
          <w:sz w:val="32"/>
          <w:szCs w:val="32"/>
        </w:rPr>
      </w:pPr>
      <w:r>
        <w:rPr>
          <w:rFonts w:hint="eastAsia" w:ascii="仿宋_GB2312" w:hAnsi="仿宋_GB2312" w:cs="仿宋_GB2312"/>
          <w:b/>
          <w:bCs/>
          <w:color w:val="auto"/>
          <w:sz w:val="32"/>
          <w:szCs w:val="32"/>
          <w:highlight w:val="none"/>
          <w:lang w:eastAsia="zh-CN"/>
        </w:rPr>
        <w:t>2023</w:t>
      </w:r>
      <w:r>
        <w:rPr>
          <w:rFonts w:hint="default" w:ascii="Times New Roman Regular" w:hAnsi="Times New Roman Regular" w:eastAsia="楷体_GB2312" w:cs="Times New Roman Regular"/>
          <w:b/>
          <w:bCs/>
          <w:color w:val="auto"/>
          <w:sz w:val="32"/>
          <w:szCs w:val="32"/>
          <w:highlight w:val="none"/>
        </w:rPr>
        <w:t>年部门</w:t>
      </w:r>
      <w:r>
        <w:rPr>
          <w:rFonts w:hint="eastAsia" w:ascii="Times New Roman Regular" w:hAnsi="Times New Roman Regular" w:eastAsia="楷体_GB2312" w:cs="Times New Roman Regular"/>
          <w:b/>
          <w:bCs/>
          <w:color w:val="auto"/>
          <w:sz w:val="32"/>
          <w:szCs w:val="32"/>
          <w:highlight w:val="none"/>
          <w:lang w:eastAsia="zh-CN"/>
        </w:rPr>
        <w:t>整体支出</w:t>
      </w:r>
      <w:r>
        <w:rPr>
          <w:rFonts w:hint="default" w:ascii="Times New Roman Regular" w:hAnsi="Times New Roman Regular" w:eastAsia="楷体_GB2312" w:cs="Times New Roman Regular"/>
          <w:b/>
          <w:bCs/>
          <w:color w:val="auto"/>
          <w:sz w:val="32"/>
          <w:szCs w:val="32"/>
          <w:highlight w:val="none"/>
        </w:rPr>
        <w:t>情况</w:t>
      </w:r>
      <w:r>
        <w:rPr>
          <w:rFonts w:hint="eastAsia" w:ascii="Times New Roman Regular" w:hAnsi="Times New Roman Regular" w:eastAsia="楷体_GB2312" w:cs="Times New Roman Regular"/>
          <w:b/>
          <w:bCs/>
          <w:color w:val="auto"/>
          <w:sz w:val="32"/>
          <w:szCs w:val="32"/>
          <w:highlight w:val="none"/>
          <w:lang w:eastAsia="zh-CN"/>
        </w:rPr>
        <w:t>（以决算数为统计口径）</w:t>
      </w:r>
    </w:p>
    <w:p w14:paraId="08D52802">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bookmarkStart w:id="0" w:name="PO_part3A1B2C5Description3"/>
      <w:bookmarkEnd w:id="0"/>
      <w:bookmarkStart w:id="1" w:name="PO_part3A1B2C5Description2"/>
      <w:bookmarkEnd w:id="1"/>
      <w:bookmarkStart w:id="2" w:name="PO_part3A1B2DivNameYear1"/>
      <w:r>
        <w:rPr>
          <w:rFonts w:hint="eastAsia" w:ascii="仿宋_GB2312" w:hAnsi="Adobe 楷体 Std R" w:eastAsia="仿宋_GB2312"/>
          <w:color w:val="000000"/>
          <w:sz w:val="32"/>
          <w:szCs w:val="32"/>
          <w:lang w:val="en-US" w:eastAsia="zh-CN"/>
        </w:rPr>
        <w:t>深圳市第二高级中学</w:t>
      </w:r>
      <w:bookmarkEnd w:id="2"/>
      <w:r>
        <w:rPr>
          <w:rFonts w:hint="eastAsia" w:ascii="仿宋_GB2312" w:hAnsi="Adobe 楷体 Std R" w:eastAsia="仿宋_GB2312"/>
          <w:color w:val="000000"/>
          <w:sz w:val="32"/>
          <w:szCs w:val="32"/>
          <w:lang w:val="en-US" w:eastAsia="zh-CN"/>
        </w:rPr>
        <w:t>2023年度总支出</w:t>
      </w:r>
      <w:bookmarkStart w:id="3" w:name="PO_part3A1B2Amount1"/>
      <w:r>
        <w:rPr>
          <w:rFonts w:hint="eastAsia" w:ascii="仿宋_GB2312" w:hAnsi="Adobe 楷体 Std R" w:eastAsia="仿宋_GB2312"/>
          <w:color w:val="000000"/>
          <w:sz w:val="32"/>
          <w:szCs w:val="32"/>
          <w:lang w:val="en-US" w:eastAsia="zh-CN"/>
        </w:rPr>
        <w:t>16,252.08</w:t>
      </w:r>
      <w:bookmarkEnd w:id="3"/>
      <w:r>
        <w:rPr>
          <w:rFonts w:hint="eastAsia" w:ascii="仿宋_GB2312" w:hAnsi="Adobe 楷体 Std R" w:eastAsia="仿宋_GB2312"/>
          <w:color w:val="000000"/>
          <w:sz w:val="32"/>
          <w:szCs w:val="32"/>
          <w:lang w:val="en-US" w:eastAsia="zh-CN"/>
        </w:rPr>
        <w:t>万元，其中本年支出</w:t>
      </w:r>
      <w:bookmarkStart w:id="4" w:name="PO_part3A1B2Amount2"/>
      <w:r>
        <w:rPr>
          <w:rFonts w:hint="eastAsia" w:ascii="仿宋_GB2312" w:hAnsi="Adobe 楷体 Std R" w:eastAsia="仿宋_GB2312"/>
          <w:color w:val="000000"/>
          <w:sz w:val="32"/>
          <w:szCs w:val="32"/>
          <w:lang w:val="en-US" w:eastAsia="zh-CN"/>
        </w:rPr>
        <w:t>16,138.97</w:t>
      </w:r>
      <w:bookmarkEnd w:id="4"/>
      <w:r>
        <w:rPr>
          <w:rFonts w:hint="eastAsia" w:ascii="仿宋_GB2312" w:hAnsi="Adobe 楷体 Std R" w:eastAsia="仿宋_GB2312"/>
          <w:color w:val="000000"/>
          <w:sz w:val="32"/>
          <w:szCs w:val="32"/>
          <w:lang w:val="en-US" w:eastAsia="zh-CN"/>
        </w:rPr>
        <w:t>万元。具体情况如下：</w:t>
      </w:r>
    </w:p>
    <w:p w14:paraId="1A412433">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1.基本支出</w:t>
      </w:r>
      <w:bookmarkStart w:id="5" w:name="PO_part3A1B2C1Amount1"/>
      <w:r>
        <w:rPr>
          <w:rFonts w:hint="eastAsia" w:ascii="仿宋_GB2312" w:hAnsi="Adobe 楷体 Std R" w:eastAsia="仿宋_GB2312"/>
          <w:color w:val="000000"/>
          <w:sz w:val="32"/>
          <w:szCs w:val="32"/>
          <w:lang w:val="en-US" w:eastAsia="zh-CN"/>
        </w:rPr>
        <w:t>12,501</w:t>
      </w:r>
      <w:bookmarkEnd w:id="5"/>
      <w:r>
        <w:rPr>
          <w:rFonts w:hint="eastAsia" w:ascii="仿宋_GB2312" w:hAnsi="Adobe 楷体 Std R" w:eastAsia="仿宋_GB2312"/>
          <w:color w:val="000000"/>
          <w:sz w:val="32"/>
          <w:szCs w:val="32"/>
          <w:lang w:val="en-US" w:eastAsia="zh-CN"/>
        </w:rPr>
        <w:t>万元，</w:t>
      </w:r>
      <w:bookmarkStart w:id="6" w:name="PO_part3A1B2C1Description1"/>
      <w:r>
        <w:rPr>
          <w:rFonts w:hint="eastAsia" w:ascii="仿宋_GB2312" w:hAnsi="Adobe 楷体 Std R" w:eastAsia="仿宋_GB2312"/>
          <w:color w:val="000000"/>
          <w:sz w:val="32"/>
          <w:szCs w:val="32"/>
          <w:lang w:val="en-US" w:eastAsia="zh-CN"/>
        </w:rPr>
        <w:t>比上年决算数增加719.29万元，</w:t>
      </w:r>
      <w:bookmarkEnd w:id="6"/>
      <w:bookmarkStart w:id="7" w:name="PO_part3A1B2C1Description2"/>
      <w:r>
        <w:rPr>
          <w:rFonts w:hint="eastAsia" w:ascii="仿宋_GB2312" w:hAnsi="Adobe 楷体 Std R" w:eastAsia="仿宋_GB2312"/>
          <w:color w:val="000000"/>
          <w:sz w:val="32"/>
          <w:szCs w:val="32"/>
          <w:lang w:val="en-US" w:eastAsia="zh-CN"/>
        </w:rPr>
        <w:t>增长6.1%，主要变动情况：</w:t>
      </w:r>
      <w:bookmarkEnd w:id="7"/>
      <w:bookmarkStart w:id="8" w:name="PO_part3A1B2C1Description3"/>
      <w:r>
        <w:rPr>
          <w:rFonts w:hint="eastAsia" w:ascii="仿宋_GB2312" w:hAnsi="Adobe 楷体 Std R" w:eastAsia="仿宋_GB2312"/>
          <w:color w:val="000000"/>
          <w:sz w:val="32"/>
          <w:szCs w:val="32"/>
          <w:lang w:val="en-US" w:eastAsia="zh-CN"/>
        </w:rPr>
        <w:t>人员增加导致人员经费增加。</w:t>
      </w:r>
      <w:bookmarkEnd w:id="8"/>
    </w:p>
    <w:p w14:paraId="5B65D267">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2.项目支出</w:t>
      </w:r>
      <w:bookmarkStart w:id="9" w:name="PO_part3A1B2C2Amount1"/>
      <w:r>
        <w:rPr>
          <w:rFonts w:hint="eastAsia" w:ascii="仿宋_GB2312" w:hAnsi="Adobe 楷体 Std R" w:eastAsia="仿宋_GB2312"/>
          <w:color w:val="000000"/>
          <w:sz w:val="32"/>
          <w:szCs w:val="32"/>
          <w:lang w:val="en-US" w:eastAsia="zh-CN"/>
        </w:rPr>
        <w:t>3,637.97</w:t>
      </w:r>
      <w:bookmarkEnd w:id="9"/>
      <w:r>
        <w:rPr>
          <w:rFonts w:hint="eastAsia" w:ascii="仿宋_GB2312" w:hAnsi="Adobe 楷体 Std R" w:eastAsia="仿宋_GB2312"/>
          <w:color w:val="000000"/>
          <w:sz w:val="32"/>
          <w:szCs w:val="32"/>
          <w:lang w:val="en-US" w:eastAsia="zh-CN"/>
        </w:rPr>
        <w:t>万元，</w:t>
      </w:r>
      <w:bookmarkStart w:id="10" w:name="PO_part3A1B2C2Description1"/>
      <w:r>
        <w:rPr>
          <w:rFonts w:hint="eastAsia" w:ascii="仿宋_GB2312" w:hAnsi="Adobe 楷体 Std R" w:eastAsia="仿宋_GB2312"/>
          <w:color w:val="000000"/>
          <w:sz w:val="32"/>
          <w:szCs w:val="32"/>
          <w:lang w:val="en-US" w:eastAsia="zh-CN"/>
        </w:rPr>
        <w:t>比上年决算数增加344.86万元，</w:t>
      </w:r>
      <w:bookmarkEnd w:id="10"/>
      <w:bookmarkStart w:id="11" w:name="PO_part3A1B2C2Description2"/>
      <w:r>
        <w:rPr>
          <w:rFonts w:hint="eastAsia" w:ascii="仿宋_GB2312" w:hAnsi="Adobe 楷体 Std R" w:eastAsia="仿宋_GB2312"/>
          <w:color w:val="000000"/>
          <w:sz w:val="32"/>
          <w:szCs w:val="32"/>
          <w:lang w:val="en-US" w:eastAsia="zh-CN"/>
        </w:rPr>
        <w:t>增长10.5%，主要变动情况：</w:t>
      </w:r>
      <w:bookmarkEnd w:id="11"/>
      <w:bookmarkStart w:id="12" w:name="PO_part3A1B2C2Description3"/>
      <w:r>
        <w:rPr>
          <w:rFonts w:hint="eastAsia" w:ascii="仿宋_GB2312" w:hAnsi="Adobe 楷体 Std R" w:eastAsia="仿宋_GB2312"/>
          <w:color w:val="000000"/>
          <w:sz w:val="32"/>
          <w:szCs w:val="32"/>
          <w:lang w:val="en-US" w:eastAsia="zh-CN"/>
        </w:rPr>
        <w:t>学校开办较长时间，多处地方需进行维修，相关维修维护费用增加。</w:t>
      </w:r>
      <w:bookmarkEnd w:id="12"/>
    </w:p>
    <w:p w14:paraId="7C56EC9A">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3.上缴上级支出</w:t>
      </w:r>
      <w:bookmarkStart w:id="13" w:name="PO_part3A1B2C3Amount1"/>
      <w:r>
        <w:rPr>
          <w:rFonts w:hint="eastAsia" w:ascii="仿宋_GB2312" w:hAnsi="Adobe 楷体 Std R" w:eastAsia="仿宋_GB2312"/>
          <w:color w:val="000000"/>
          <w:sz w:val="32"/>
          <w:szCs w:val="32"/>
          <w:lang w:val="en-US" w:eastAsia="zh-CN"/>
        </w:rPr>
        <w:t>0</w:t>
      </w:r>
      <w:bookmarkEnd w:id="13"/>
      <w:r>
        <w:rPr>
          <w:rFonts w:hint="eastAsia" w:ascii="仿宋_GB2312" w:hAnsi="Adobe 楷体 Std R" w:eastAsia="仿宋_GB2312"/>
          <w:color w:val="000000"/>
          <w:sz w:val="32"/>
          <w:szCs w:val="32"/>
          <w:lang w:val="en-US" w:eastAsia="zh-CN"/>
        </w:rPr>
        <w:t>万元，</w:t>
      </w:r>
      <w:bookmarkStart w:id="14" w:name="PO_part3A1B2C3Description1"/>
      <w:r>
        <w:rPr>
          <w:rFonts w:hint="eastAsia" w:ascii="仿宋_GB2312" w:hAnsi="Adobe 楷体 Std R" w:eastAsia="仿宋_GB2312"/>
          <w:color w:val="000000"/>
          <w:sz w:val="32"/>
          <w:szCs w:val="32"/>
          <w:lang w:val="en-US" w:eastAsia="zh-CN"/>
        </w:rPr>
        <w:t>与上年决算数持平。</w:t>
      </w:r>
      <w:bookmarkEnd w:id="14"/>
      <w:bookmarkStart w:id="15" w:name="PO_part3A1B2C3Description2"/>
      <w:bookmarkEnd w:id="15"/>
      <w:bookmarkStart w:id="16" w:name="PO_part3A1B2C3Description3"/>
      <w:bookmarkEnd w:id="16"/>
    </w:p>
    <w:p w14:paraId="2E14B294">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4.经营支出</w:t>
      </w:r>
      <w:bookmarkStart w:id="17" w:name="PO_part3A1B2C4Amount1"/>
      <w:r>
        <w:rPr>
          <w:rFonts w:hint="eastAsia" w:ascii="仿宋_GB2312" w:hAnsi="Adobe 楷体 Std R" w:eastAsia="仿宋_GB2312"/>
          <w:color w:val="000000"/>
          <w:sz w:val="32"/>
          <w:szCs w:val="32"/>
          <w:lang w:val="en-US" w:eastAsia="zh-CN"/>
        </w:rPr>
        <w:t>0</w:t>
      </w:r>
      <w:bookmarkEnd w:id="17"/>
      <w:r>
        <w:rPr>
          <w:rFonts w:hint="eastAsia" w:ascii="仿宋_GB2312" w:hAnsi="Adobe 楷体 Std R" w:eastAsia="仿宋_GB2312"/>
          <w:color w:val="000000"/>
          <w:sz w:val="32"/>
          <w:szCs w:val="32"/>
          <w:lang w:val="en-US" w:eastAsia="zh-CN"/>
        </w:rPr>
        <w:t>万元，</w:t>
      </w:r>
      <w:bookmarkStart w:id="18" w:name="PO_part3A1B2C4Description1"/>
      <w:r>
        <w:rPr>
          <w:rFonts w:hint="eastAsia" w:ascii="仿宋_GB2312" w:hAnsi="Adobe 楷体 Std R" w:eastAsia="仿宋_GB2312"/>
          <w:color w:val="000000"/>
          <w:sz w:val="32"/>
          <w:szCs w:val="32"/>
          <w:lang w:val="en-US" w:eastAsia="zh-CN"/>
        </w:rPr>
        <w:t>与上年决算数持平。</w:t>
      </w:r>
      <w:bookmarkEnd w:id="18"/>
      <w:bookmarkStart w:id="19" w:name="PO_part3A1B2C4Description2"/>
      <w:bookmarkEnd w:id="19"/>
      <w:bookmarkStart w:id="20" w:name="PO_part3A1B2C4Description3"/>
      <w:bookmarkEnd w:id="20"/>
    </w:p>
    <w:p w14:paraId="2608AAA7">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5.对附属单位补助支出</w:t>
      </w:r>
      <w:bookmarkStart w:id="21" w:name="PO_part3A1B2C5Amount1"/>
      <w:r>
        <w:rPr>
          <w:rFonts w:hint="eastAsia" w:ascii="仿宋_GB2312" w:hAnsi="Adobe 楷体 Std R" w:eastAsia="仿宋_GB2312"/>
          <w:color w:val="000000"/>
          <w:sz w:val="32"/>
          <w:szCs w:val="32"/>
          <w:lang w:val="en-US" w:eastAsia="zh-CN"/>
        </w:rPr>
        <w:t>0</w:t>
      </w:r>
      <w:bookmarkEnd w:id="21"/>
      <w:r>
        <w:rPr>
          <w:rFonts w:hint="eastAsia" w:ascii="仿宋_GB2312" w:hAnsi="Adobe 楷体 Std R" w:eastAsia="仿宋_GB2312"/>
          <w:color w:val="000000"/>
          <w:sz w:val="32"/>
          <w:szCs w:val="32"/>
          <w:lang w:val="en-US" w:eastAsia="zh-CN"/>
        </w:rPr>
        <w:t>万元，</w:t>
      </w:r>
      <w:bookmarkStart w:id="22" w:name="PO_part3A1B2C5Description1"/>
      <w:r>
        <w:rPr>
          <w:rFonts w:hint="eastAsia" w:ascii="仿宋_GB2312" w:hAnsi="Adobe 楷体 Std R" w:eastAsia="仿宋_GB2312"/>
          <w:color w:val="000000"/>
          <w:sz w:val="32"/>
          <w:szCs w:val="32"/>
          <w:lang w:val="en-US" w:eastAsia="zh-CN"/>
        </w:rPr>
        <w:t>与上年决算数持平。</w:t>
      </w:r>
      <w:bookmarkEnd w:id="22"/>
    </w:p>
    <w:p w14:paraId="4BF99AC0">
      <w:pPr>
        <w:snapToGrid w:val="0"/>
        <w:spacing w:line="580" w:lineRule="exact"/>
        <w:ind w:left="420" w:leftChars="0" w:firstLine="420" w:firstLineChars="0"/>
        <w:rPr>
          <w:rFonts w:ascii="仿宋_GB2312" w:hAnsi="楷体_GB2312" w:eastAsia="仿宋_GB2312" w:cs="楷体_GB2312"/>
          <w:bCs/>
          <w:sz w:val="32"/>
          <w:szCs w:val="32"/>
        </w:rPr>
      </w:pPr>
    </w:p>
    <w:p w14:paraId="139182B3">
      <w:pPr>
        <w:spacing w:line="580" w:lineRule="exact"/>
        <w:ind w:firstLine="627" w:firstLineChars="196"/>
        <w:rPr>
          <w:rFonts w:ascii="黑体" w:hAnsi="黑体" w:eastAsia="黑体"/>
          <w:sz w:val="32"/>
          <w:szCs w:val="32"/>
        </w:rPr>
      </w:pPr>
      <w:r>
        <w:rPr>
          <w:rFonts w:hint="eastAsia" w:ascii="黑体" w:hAnsi="黑体" w:eastAsia="黑体"/>
          <w:sz w:val="32"/>
          <w:szCs w:val="32"/>
        </w:rPr>
        <w:t>二、部门主要履职</w:t>
      </w:r>
      <w:r>
        <w:rPr>
          <w:rFonts w:hint="eastAsia" w:ascii="Times New Roman Regular" w:hAnsi="Times New Roman Regular" w:eastAsia="黑体" w:cs="Times New Roman Regular"/>
          <w:bCs/>
          <w:color w:val="auto"/>
          <w:sz w:val="32"/>
          <w:szCs w:val="32"/>
          <w:highlight w:val="none"/>
          <w:lang w:val="en-US" w:eastAsia="zh-CN"/>
        </w:rPr>
        <w:t>情况分析</w:t>
      </w:r>
    </w:p>
    <w:p w14:paraId="4AC39057">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1"/>
        <w:rPr>
          <w:rFonts w:hint="default" w:ascii="Times New Roman Regular" w:hAnsi="Times New Roman Regular" w:eastAsia="楷体_GB2312" w:cs="Times New Roman Regular"/>
          <w:b/>
          <w:bCs/>
          <w:color w:val="auto"/>
          <w:sz w:val="32"/>
          <w:szCs w:val="32"/>
          <w:highlight w:val="none"/>
        </w:rPr>
      </w:pPr>
      <w:r>
        <w:rPr>
          <w:rFonts w:hint="default" w:ascii="Times New Roman Regular" w:hAnsi="Times New Roman Regular" w:eastAsia="楷体_GB2312" w:cs="Times New Roman Regular"/>
          <w:b/>
          <w:bCs/>
          <w:color w:val="auto"/>
          <w:sz w:val="32"/>
          <w:szCs w:val="32"/>
          <w:highlight w:val="none"/>
        </w:rPr>
        <w:t>（一）主要履职目标</w:t>
      </w:r>
    </w:p>
    <w:p w14:paraId="27176CE4">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2023</w:t>
      </w:r>
      <w:r>
        <w:rPr>
          <w:rFonts w:hint="eastAsia" w:ascii="仿宋_GB2312" w:hAnsi="Adobe 楷体 Std R" w:eastAsia="仿宋_GB2312"/>
          <w:color w:val="000000"/>
          <w:sz w:val="32"/>
          <w:szCs w:val="32"/>
          <w:lang w:val="en-US" w:eastAsia="zh-Hans"/>
        </w:rPr>
        <w:t>年，我</w:t>
      </w:r>
      <w:r>
        <w:rPr>
          <w:rFonts w:hint="eastAsia" w:ascii="仿宋_GB2312" w:hAnsi="Adobe 楷体 Std R" w:eastAsia="仿宋_GB2312"/>
          <w:color w:val="000000"/>
          <w:sz w:val="32"/>
          <w:szCs w:val="32"/>
          <w:lang w:val="en-US" w:eastAsia="zh-CN"/>
        </w:rPr>
        <w:t>校</w:t>
      </w:r>
      <w:r>
        <w:rPr>
          <w:rFonts w:hint="eastAsia" w:ascii="仿宋_GB2312" w:hAnsi="Adobe 楷体 Std R" w:eastAsia="仿宋_GB2312"/>
          <w:color w:val="000000"/>
          <w:sz w:val="32"/>
          <w:szCs w:val="32"/>
          <w:lang w:val="en-US" w:eastAsia="zh-Hans"/>
        </w:rPr>
        <w:t>根据部门主要工作职责，确定了年度履职目标，制定了年度工作计划，并将年度计划分解落实到预算项目，主要履职目标如下：</w:t>
      </w:r>
    </w:p>
    <w:p w14:paraId="1C6F284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1.扎实开展主题教育，凝心铸魂筑牢根本；</w:t>
      </w:r>
    </w:p>
    <w:p w14:paraId="6225F6D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2.重点先行，构建机制，着眼长效；
</w:t>
      </w:r>
    </w:p>
    <w:p w14:paraId="652476E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3.立德树人，服务大局，高位发展；
</w:t>
      </w:r>
    </w:p>
    <w:p w14:paraId="5CB3B84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4.校园改造升级，旧貌变换新颜；
</w:t>
      </w:r>
    </w:p>
    <w:p w14:paraId="18B8CD0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5.食堂自主经营，舌尖安全严控；
</w:t>
      </w:r>
    </w:p>
    <w:p w14:paraId="3F2979D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6.做好学校内控工作，促进学校管理规范化。</w:t>
      </w:r>
    </w:p>
    <w:p w14:paraId="692E496A">
      <w:pPr>
        <w:keepNext w:val="0"/>
        <w:keepLines w:val="0"/>
        <w:pageBreakBefore w:val="0"/>
        <w:widowControl w:val="0"/>
        <w:kinsoku/>
        <w:wordWrap/>
        <w:overflowPunct/>
        <w:topLinePunct w:val="0"/>
        <w:autoSpaceDE/>
        <w:autoSpaceDN/>
        <w:bidi w:val="0"/>
        <w:adjustRightInd/>
        <w:snapToGrid w:val="0"/>
        <w:spacing w:line="580" w:lineRule="exact"/>
        <w:ind w:left="0" w:leftChars="0" w:right="0" w:rightChars="0" w:firstLine="640" w:firstLineChars="200"/>
        <w:jc w:val="both"/>
        <w:textAlignment w:val="auto"/>
        <w:outlineLvl w:val="1"/>
        <w:rPr>
          <w:rFonts w:hint="default" w:ascii="Times New Roman Regular" w:hAnsi="Times New Roman Regular" w:eastAsia="楷体_GB2312" w:cs="Times New Roman Regular"/>
          <w:b/>
          <w:bCs/>
          <w:color w:val="auto"/>
          <w:sz w:val="32"/>
          <w:szCs w:val="32"/>
          <w:highlight w:val="none"/>
        </w:rPr>
      </w:pPr>
      <w:r>
        <w:rPr>
          <w:rFonts w:hint="default" w:ascii="Times New Roman Regular" w:hAnsi="Times New Roman Regular" w:eastAsia="楷体_GB2312" w:cs="Times New Roman Regular"/>
          <w:b/>
          <w:bCs/>
          <w:color w:val="auto"/>
          <w:sz w:val="32"/>
          <w:szCs w:val="32"/>
          <w:highlight w:val="none"/>
        </w:rPr>
        <w:t>（</w:t>
      </w:r>
      <w:r>
        <w:rPr>
          <w:rFonts w:hint="eastAsia" w:ascii="Times New Roman Regular" w:hAnsi="Times New Roman Regular" w:eastAsia="楷体_GB2312" w:cs="Times New Roman Regular"/>
          <w:b/>
          <w:bCs/>
          <w:color w:val="auto"/>
          <w:sz w:val="32"/>
          <w:szCs w:val="32"/>
          <w:highlight w:val="none"/>
          <w:lang w:val="en-US" w:eastAsia="zh-CN"/>
        </w:rPr>
        <w:t>二</w:t>
      </w:r>
      <w:r>
        <w:rPr>
          <w:rFonts w:hint="default" w:ascii="Times New Roman Regular" w:hAnsi="Times New Roman Regular" w:eastAsia="楷体_GB2312" w:cs="Times New Roman Regular"/>
          <w:b/>
          <w:bCs/>
          <w:color w:val="auto"/>
          <w:sz w:val="32"/>
          <w:szCs w:val="32"/>
          <w:highlight w:val="none"/>
        </w:rPr>
        <w:t>）主要履职情况</w:t>
      </w:r>
    </w:p>
    <w:p w14:paraId="67CC7929">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扎实开展主题教育，凝心铸魂筑牢根本。扎实开展习近平新时代中国特色社会主义思想主题教育，以专题读书班、专题党课、集中学习、学习分享、调查研究、检视整改、问题清单等为抓手，推动党的二十大精神入心见行，切实做到以学铸魂、以学增智、以学正风、以学促干方面取得实实在在的成效。
</w:t>
      </w:r>
    </w:p>
    <w:p w14:paraId="456C13EA">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2.重点先行，构建机制，着眼长效。</w:t>
      </w:r>
    </w:p>
    <w:p w14:paraId="5EDA621B">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（1）修订《章程》，适应发展。2022年按照上级文件要求，修订了学校《章程》。2023年采用新《章程》统领学校的全面工作，依法治教、科学治校，指引学校向前发展。</w:t>
      </w:r>
    </w:p>
    <w:p w14:paraId="6BC94A62">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修订纲要，与时俱进。2023年，学校党委制定了《中共深圳市第二高级中学党委工作纲要》。纲要涵盖“坚持党的领导，把握办学方向，优化治理体系，提升治理效能”“建强人才队伍，提高职业素养，强化师德师风，校园风清气正”“坚持立德树人，推动育人变革，优化育人环境，促进全面发展”“突出教学管理，强化研究意识，形成核心实力，保障长效发展”“加强自身建设，提高服务水平，做到提前谋划，切实保驾护航”五个方面内容。相对完整地规划了学校3-5年的发展前景。本学期各行政处室依据纲要开展工作。</w:t>
      </w:r>
    </w:p>
    <w:p w14:paraId="15B50F62">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3.立德树人，服务大局，高位发展。</w:t>
      </w:r>
    </w:p>
    <w:p w14:paraId="5C6E6A4F">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坚持以人为本，提升育人环境。针对学生和家长关注的宿舍冲凉和食堂就餐问题，及时深入调查研究，一一进行整改落实。学校在食堂架设钢琴，让学生在品尝舌尖美食的同时，还能欣赏悠扬的钢琴声。学生弹奏钢琴视频抖音点击量已超过20万，并被深圳教育视频转载，广受社会好评和热议。</w:t>
      </w:r>
    </w:p>
    <w:p w14:paraId="3C7F33B8">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落实劳动教育，形成二高特色。2022年，我校出台了《深圳市第二高级中学劳动教育实施规划》。12月参加深圳市首届劳动教育成果巡礼，我校《融通职业体验，创新劳动教育》活动案例，已作为深圳市新课程新教材实施优质教学课例推荐到省教科院。2023年，二高“开心微农场”建成，成为师生谈论的新话题，驻足的新景点。</w:t>
      </w:r>
    </w:p>
    <w:p w14:paraId="376B91FA">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推进“大思政课”，渗透学科教学。2022年，我校制定了《深圳市第二高级中学思政课课程建设方案》。该方案在“三实”教育思想的引领下，从铸魂、培根、启智、润心四个维度，从国家课程、地方课程、校本课程三个层面建设三实思政课体系。2023年，课程体系开始落实，课程思想向学科教学渗透。2023年5月承办深圳市教育学会“以研促教、提升素养”培训活动，开展“‘三实’（真实、扎实、朴实）理念下的课程思政元素在学科教学中的巧妙渗透”的主题研讨培训。</w:t>
      </w:r>
    </w:p>
    <w:p w14:paraId="769BCC8F">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创新沟通机制，加强舆论宣传。2023年，深圳市第二高级中学微信公众号共发布文章227篇，粉丝净增长17742人。宣传内容成系列化、板块化发展，已有19个版块，涉及党建、团建、生命教育、安全教育、诚信教育、体育融合、艺术教育、二高学子、教学、科研等学校方方面面内容。今年新增三实二高·与你相约、三实教学·守正创新、三实科研·教改撷英、二高三实·生命教育等，“生命教育”已推出26期专题文章，阅读量达26000+！</w:t>
      </w:r>
    </w:p>
    <w:p w14:paraId="4241D897">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5）做实生命教育，保障身心健康。为认真贯彻党的二十大精神，增强学生热爱生命、珍爱生命的意识，促进学生身心健康成长。今年系列开展了21项特色生命教育主题活动，建设了“向阳生长”学生发展支持中心，申报了《生命教育视角下的深圳市寄宿制高中学生发展支持体系的建构与实践——以深圳市第二高级中学为例》市级课题，在学校公众微信号开设了“生命教育”专栏，发布学生生命教育活动系列报道33期，二高荣获市级学生生命教育活动案例申报一等奖、二等奖。</w:t>
      </w:r>
    </w:p>
    <w:p w14:paraId="3C2B8987">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6）落实“生涯教育”，助力学生发展。学校一直高度重视学生“生涯规划”教育。近五年，深圳二高还精心策划和组织了“大学零距离”“职场面对面”等生涯主题系列社会实践活动。每年暑期，二高高一、高二年级近2000名学生走进各行各业体验职场生活。众多的二高学子在学校组织的系列生涯教育主题社会实践活动中收获成长，朝着梦想，勇往直前。2023年，深圳市第二高级中学荣幸地成为“中国关工委教育中心生涯教育首批实验学校”之一！</w:t>
      </w:r>
    </w:p>
    <w:p w14:paraId="5E78171C">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7）积极搭建平台，师生绽放异彩。据不完全统计，2023年，我校国家级教师获奖5人，省级1人，市级教师获奖20人；国家级学生获奖12人，省级学生获奖13人次，市级学生获奖213人次。在叶圣陶杯作文大赛中，70余万人参赛。我校8名学子进入全国决赛、146名同学获得省级大奖。创客小学子们，在中国国际互联网+大学生创新创业大赛等重磅级省市比赛中，获得十项大奖。</w:t>
      </w:r>
    </w:p>
    <w:p w14:paraId="2C4BD599">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8）苦练教育内功，综合成绩斐然。这一年，我校获批全国国防教育示范学校、教育部第二批全国学校急救教育试点学校、中国关工委教育中心生涯教育首批实验学校、2023年广东省空军招飞工作先进单位、广东省“优秀创客教育空间”、深圳市“五星级心理辅导室”、空军招飞优质生源中学、广东外语外贸大学优质生源基地等荣誉称号。</w:t>
      </w:r>
    </w:p>
    <w:p w14:paraId="57155712">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4.校园改造升级，旧貌变换新颜。本年度学校展开了几项大型工程，包括宿舍区部分卫生间和淋浴间的改造、教学楼部分卫生间改造、采光大厅的遮雨棚的改造工程。所有工程都做到了谋划在前、布置在前、落实在前、把关在前。工程由专人负责，严格按照法律法规完成招标、施工、验收和监管程序。
</w:t>
      </w:r>
    </w:p>
    <w:p w14:paraId="6A662057">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5.食堂自主经营，舌尖安全严控。食堂自营以来。学校党委本着“真心服务学生，一切从学生需要出发”的服务宗旨，招聘高素质员工，组建专业化的食堂运营团队。聘请深圳市教育局指定的第三方食品安全监管单位，邀请学生会权益部学生参与日常监督管理，确保在校师生“舌尖上的安全”。如今，全校师生、学生家长对食堂伙食、服务赞誉有加。
</w:t>
      </w:r>
    </w:p>
    <w:p w14:paraId="35BB5C31">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6.做好学校内控工作，促进学校管理规范化。学校于2023年5月通过校内公开招标方式，在财会专业人士的帮助下对学校内部控制风险进行评估，历经4个月的资料审核、沟通谈话，目前正根据其提供的专业意见建议，修改学校预算管理、采购、修缮服务、资产管理、合同管理等各项制度，以期更好地做好学校工作。</w:t>
      </w:r>
    </w:p>
    <w:p w14:paraId="0EACB9E1">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p>
    <w:p w14:paraId="5C3E745F">
      <w:pPr>
        <w:spacing w:line="580" w:lineRule="exact"/>
        <w:ind w:firstLine="627" w:firstLineChars="196"/>
        <w:rPr>
          <w:rFonts w:ascii="黑体" w:hAnsi="黑体" w:eastAsia="黑体"/>
          <w:sz w:val="32"/>
          <w:szCs w:val="32"/>
        </w:rPr>
      </w:pPr>
      <w:r>
        <w:rPr>
          <w:rFonts w:hint="eastAsia" w:ascii="黑体" w:hAnsi="黑体" w:eastAsia="黑体"/>
          <w:sz w:val="32"/>
          <w:szCs w:val="32"/>
        </w:rPr>
        <w:t xml:space="preserve"> 三、总体评价和整改措施</w:t>
      </w:r>
    </w:p>
    <w:p w14:paraId="005FA2A1">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b/>
          <w:bCs/>
          <w:sz w:val="32"/>
          <w:szCs w:val="32"/>
        </w:rPr>
      </w:pPr>
      <w:r>
        <w:rPr>
          <w:rFonts w:hint="eastAsia" w:ascii="仿宋_GB2312" w:eastAsia="仿宋_GB2312"/>
          <w:b/>
          <w:bCs/>
          <w:sz w:val="32"/>
          <w:szCs w:val="32"/>
        </w:rPr>
        <w:t>预算绩效管理工作主要经验、做法。</w:t>
      </w:r>
    </w:p>
    <w:p w14:paraId="40A6A95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1.我校重视预算编制前的调研工作，提高预算的准确性。加强与各部门的沟通协调，确保预算执行的顺利进行。要持续优化管理流程，提高工作效率。</w:t>
      </w:r>
      <w:bookmarkStart w:id="23" w:name="_GoBack"/>
      <w:bookmarkEnd w:id="23"/>
    </w:p>
    <w:p w14:paraId="6120403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2.我校定期分析预算执行情况，对预算执行进度进行了实时跟踪，确保各项目按计划推进。对预算调整进行了严格控制，避免了不必要的浪费。优化了采购流程，降低了采购成本。</w:t>
      </w:r>
    </w:p>
    <w:p w14:paraId="4813048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3.我校按照绩效管理要求，制定了具体的绩效指标，并对其进行定期评估，项目的完成率和质量均达到了预期目标。员工的工作效率和满意度得到了提高。资源利用效率明显提升，未出现资源浪费现象。</w:t>
      </w:r>
    </w:p>
    <w:p w14:paraId="044757F1">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b/>
          <w:bCs/>
          <w:sz w:val="32"/>
          <w:szCs w:val="32"/>
        </w:rPr>
      </w:pPr>
      <w:r>
        <w:rPr>
          <w:rFonts w:hint="eastAsia" w:ascii="仿宋_GB2312" w:eastAsia="仿宋_GB2312"/>
          <w:b/>
          <w:bCs/>
          <w:sz w:val="32"/>
          <w:szCs w:val="32"/>
        </w:rPr>
        <w:t>部门整体支出绩效存在问题及改进措施。</w:t>
      </w:r>
    </w:p>
    <w:p w14:paraId="7FF4D8B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1.存在问题</w:t>
      </w:r>
    </w:p>
    <w:p w14:paraId="5B8AC2C0">
      <w:pPr>
        <w:keepNext w:val="0"/>
        <w:keepLines w:val="0"/>
        <w:pageBreakBefore w:val="0"/>
        <w:widowControl w:val="0"/>
        <w:numPr>
          <w:ilvl w:val="0"/>
          <w:numId w:val="3"/>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预算执行力度有待加大。我校2023年第一季度预算支出进度为22.63%；第二季度预算支出进度为42.49%；第三季度预算支出进度为69.31%；第四季度预算支出进度为99.21%；全年预算平均执行率为91.78%。一二三季度未能达到序时进度，有待改善。</w:t>
      </w:r>
    </w:p>
    <w:p w14:paraId="5ECF988A">
      <w:pPr>
        <w:keepNext w:val="0"/>
        <w:keepLines w:val="0"/>
        <w:pageBreakBefore w:val="0"/>
        <w:widowControl w:val="0"/>
        <w:numPr>
          <w:ilvl w:val="0"/>
          <w:numId w:val="3"/>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编外人员控制率超标，待优化管理。我校2023年度在职人员总数（在编+编外）284人，使用购买服务人员数量为57人，购买服务人数较多，人员管理尚待加强。
</w:t>
      </w:r>
    </w:p>
    <w:p w14:paraId="182B5D1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2.改进措施</w:t>
      </w:r>
    </w:p>
    <w:p w14:paraId="6CF902B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1）加大预算执行监管力度，加快分季度支出进度。加强计划管理,严格审批制度。一是严格预算约束。完善预算机制，推进精细理财，每季度将财政支出进度进行统计分析，实现预算执行全程管控。二是督促未达到支出序时进度的经办部门分析支出进度缓慢原因，梳理、查找执行中的问题，认真研究提出有针对性的对策和措施，加快推进项目实施，确保实现支出目标，保障往后年度实际支出进度达到序时进度。</w:t>
      </w:r>
    </w:p>
    <w:p w14:paraId="6C04866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leftChars="200" w:firstLine="640" w:firstLineChars="200"/>
        <w:textAlignment w:val="auto"/>
        <w:rPr>
          <w:rFonts w:hint="eastAsia" w:ascii="仿宋_GB2312" w:eastAsia="仿宋_GB2312"/>
          <w:sz w:val="32"/>
          <w:szCs w:val="32"/>
        </w:rPr>
      </w:pPr>
      <w:r>
        <w:rPr>
          <w:rFonts w:hint="eastAsia" w:ascii="仿宋_GB2312" w:hAnsi="Adobe 楷体 Std R" w:eastAsia="仿宋_GB2312"/>
          <w:color w:val="000000"/>
          <w:sz w:val="32"/>
          <w:szCs w:val="32"/>
          <w:lang w:val="en-US" w:eastAsia="zh-CN"/>
        </w:rPr>
        <w:t>（2）合理控制编外人员，增强计划管理。加强部门人员总量控制、计划管理。我校将编外人员作为学校人事管理的有机组成部分，纳入人事管理范畴。对编外人员，提高管理效率，优化岗位设置。同时，通过挖掘编内人员潜力，通过过市场化形式继续精简编外人员。</w:t>
      </w:r>
    </w:p>
    <w:p w14:paraId="767586D4">
      <w:pPr>
        <w:numPr>
          <w:ilvl w:val="0"/>
          <w:numId w:val="2"/>
        </w:numPr>
        <w:spacing w:line="580" w:lineRule="exact"/>
        <w:ind w:left="0" w:leftChars="0" w:firstLine="420" w:firstLineChars="0"/>
        <w:rPr>
          <w:rFonts w:hint="eastAsia" w:ascii="仿宋_GB2312" w:eastAsia="仿宋_GB2312"/>
          <w:b/>
          <w:bCs/>
          <w:sz w:val="32"/>
          <w:szCs w:val="32"/>
        </w:rPr>
      </w:pPr>
      <w:r>
        <w:rPr>
          <w:rFonts w:hint="eastAsia" w:ascii="仿宋_GB2312" w:eastAsia="仿宋_GB2312"/>
          <w:b/>
          <w:bCs/>
          <w:sz w:val="32"/>
          <w:szCs w:val="32"/>
        </w:rPr>
        <w:t>后续工作计划、相关建议等。</w:t>
      </w:r>
    </w:p>
    <w:p w14:paraId="6BD83AEE">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加强绩效管理结果应用。强化业务人员预算绩效管理意识，让业务人员参与到预算绩效管理全过程中，将预算绩效管理工作融入我校日常工作中，编制年度预算时，优先保障绩效评价结果良好的项目资金，同时，将预算绩效评价结果纳入部门日常考核工作中。</w:t>
      </w:r>
    </w:p>
    <w:p w14:paraId="2501717C">
      <w:pPr>
        <w:snapToGrid w:val="0"/>
        <w:spacing w:line="580" w:lineRule="exact"/>
        <w:ind w:firstLine="1056" w:firstLineChars="330"/>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br w:type="page"/>
      </w:r>
    </w:p>
    <w:p w14:paraId="398F1544">
      <w:pPr>
        <w:numPr>
          <w:ilvl w:val="0"/>
          <w:numId w:val="4"/>
        </w:numPr>
        <w:spacing w:line="580" w:lineRule="exact"/>
        <w:ind w:firstLine="627" w:firstLineChars="196"/>
        <w:rPr>
          <w:rFonts w:hint="eastAsia" w:ascii="黑体" w:hAnsi="黑体" w:eastAsia="黑体"/>
          <w:b/>
          <w:bCs/>
          <w:sz w:val="32"/>
          <w:szCs w:val="32"/>
          <w:lang w:val="en-US" w:eastAsia="zh-CN"/>
        </w:rPr>
      </w:pPr>
      <w:r>
        <w:rPr>
          <w:rFonts w:hint="eastAsia" w:ascii="黑体" w:hAnsi="黑体" w:eastAsia="黑体"/>
          <w:b/>
          <w:bCs/>
          <w:sz w:val="32"/>
          <w:szCs w:val="32"/>
        </w:rPr>
        <w:t>部门整体支出绩效评价指标评分</w:t>
      </w:r>
    </w:p>
    <w:p w14:paraId="77A5DE9B">
      <w:pPr>
        <w:keepNext w:val="0"/>
        <w:keepLines w:val="0"/>
        <w:pageBreakBefore w:val="0"/>
        <w:widowControl w:val="0"/>
        <w:kinsoku/>
        <w:wordWrap/>
        <w:overflowPunct/>
        <w:topLinePunct w:val="0"/>
        <w:autoSpaceDE/>
        <w:autoSpaceDN/>
        <w:bidi w:val="0"/>
        <w:adjustRightInd/>
        <w:snapToGrid w:val="0"/>
        <w:spacing w:line="580" w:lineRule="exact"/>
        <w:ind w:left="420" w:leftChars="0" w:firstLine="640" w:firstLineChars="200"/>
        <w:textAlignment w:val="auto"/>
        <w:rPr>
          <w:rFonts w:hint="eastAsia" w:ascii="仿宋_GB2312" w:hAnsi="Adobe 楷体 Std R" w:eastAsia="仿宋_GB2312"/>
          <w:color w:val="000000"/>
          <w:sz w:val="32"/>
          <w:szCs w:val="32"/>
          <w:lang w:val="en-US" w:eastAsia="zh-CN"/>
        </w:rPr>
      </w:pPr>
      <w:r>
        <w:rPr>
          <w:rFonts w:hint="eastAsia" w:ascii="仿宋_GB2312" w:hAnsi="Adobe 楷体 Std R" w:eastAsia="仿宋_GB2312"/>
          <w:color w:val="000000"/>
          <w:sz w:val="32"/>
          <w:szCs w:val="32"/>
          <w:lang w:val="en-US" w:eastAsia="zh-CN"/>
        </w:rPr>
        <w:t>我局参照《</w:t>
      </w:r>
      <w:r>
        <w:rPr>
          <w:rFonts w:hint="eastAsia" w:ascii="仿宋_GB2312" w:hAnsi="Adobe 楷体 Std R" w:eastAsia="仿宋_GB2312"/>
          <w:color w:val="000000"/>
          <w:sz w:val="32"/>
          <w:szCs w:val="32"/>
          <w:lang w:val="en-US" w:eastAsia="zh-Hans"/>
        </w:rPr>
        <w:t>部门整体支出绩效评价共性指标体系框架</w:t>
      </w:r>
      <w:r>
        <w:rPr>
          <w:rFonts w:hint="eastAsia" w:ascii="仿宋_GB2312" w:hAnsi="Adobe 楷体 Std R" w:eastAsia="仿宋_GB2312"/>
          <w:color w:val="000000"/>
          <w:sz w:val="32"/>
          <w:szCs w:val="32"/>
          <w:lang w:val="en-US" w:eastAsia="zh-CN"/>
        </w:rPr>
        <w:t>》进行自评，此次绩效自评得分为96.44分，</w:t>
      </w:r>
      <w:r>
        <w:rPr>
          <w:rFonts w:hint="eastAsia" w:ascii="仿宋_GB2312" w:hAnsi="Adobe 楷体 Std R" w:eastAsia="仿宋_GB2312"/>
          <w:color w:val="000000"/>
          <w:sz w:val="32"/>
          <w:szCs w:val="32"/>
          <w:lang w:val="en-US" w:eastAsia="zh-Hans"/>
        </w:rPr>
        <w:t>整体评价为“优”</w:t>
      </w:r>
      <w:r>
        <w:rPr>
          <w:rFonts w:hint="eastAsia" w:ascii="仿宋_GB2312" w:hAnsi="Adobe 楷体 Std R" w:eastAsia="仿宋_GB2312"/>
          <w:color w:val="000000"/>
          <w:sz w:val="32"/>
          <w:szCs w:val="32"/>
          <w:lang w:val="en-US" w:eastAsia="zh-CN"/>
        </w:rPr>
        <w:t>。</w:t>
      </w:r>
    </w:p>
    <w:sectPr>
      <w:footerReference r:id="rId3" w:type="default"/>
      <w:pgSz w:w="11906" w:h="16838"/>
      <w:pgMar w:top="2098" w:right="1417" w:bottom="1417" w:left="1474"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C547D9-EAB0-477E-A7CB-A44732BDEAD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embedRegular r:id="rId2" w:fontKey="{7DC1109E-757B-4AA6-87CC-6663CC91E394}"/>
  </w:font>
  <w:font w:name="Adobe 楷体 Std R">
    <w:altName w:val="宋体"/>
    <w:panose1 w:val="00000000000000000000"/>
    <w:charset w:val="86"/>
    <w:family w:val="roman"/>
    <w:pitch w:val="default"/>
    <w:sig w:usb0="00000000" w:usb1="00000000" w:usb2="00000010" w:usb3="00000000" w:csb0="00060007" w:csb1="00000000"/>
    <w:embedRegular r:id="rId3" w:fontKey="{3B30AB97-DDE6-434C-A8C4-717DC4B1ACB4}"/>
  </w:font>
  <w:font w:name="楷体_GB2312">
    <w:altName w:val="楷体"/>
    <w:panose1 w:val="02010609030101010101"/>
    <w:charset w:val="86"/>
    <w:family w:val="modern"/>
    <w:pitch w:val="default"/>
    <w:sig w:usb0="00000000" w:usb1="00000000" w:usb2="00000010" w:usb3="00000000" w:csb0="00040000" w:csb1="00000000"/>
    <w:embedRegular r:id="rId4" w:fontKey="{C2378F2F-4234-4F60-9D7C-A540A0BDC73B}"/>
  </w:font>
  <w:font w:name="Times New Roman Regular">
    <w:altName w:val="Times New Roman"/>
    <w:panose1 w:val="02020603050405020304"/>
    <w:charset w:val="00"/>
    <w:family w:val="auto"/>
    <w:pitch w:val="default"/>
    <w:sig w:usb0="00000000" w:usb1="00000000" w:usb2="00000009" w:usb3="00000000" w:csb0="400001FF" w:csb1="FFFF0000"/>
    <w:embedRegular r:id="rId5" w:fontKey="{5E1105A8-CE34-4B18-8E73-2D9A3174C4A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85BC3">
    <w:pPr>
      <w:pStyle w:val="3"/>
      <w:framePr w:wrap="around" w:vAnchor="text" w:hAnchor="margin" w:xAlign="outside" w:y="1"/>
      <w:rPr>
        <w:rStyle w:val="9"/>
        <w:rFonts w:ascii="宋体" w:hAnsi="宋体"/>
        <w:sz w:val="28"/>
        <w:szCs w:val="28"/>
      </w:rPr>
    </w:pP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- 17 -</w:t>
    </w:r>
    <w:r>
      <w:rPr>
        <w:rStyle w:val="9"/>
        <w:rFonts w:ascii="宋体" w:hAnsi="宋体"/>
        <w:sz w:val="28"/>
        <w:szCs w:val="28"/>
      </w:rPr>
      <w:fldChar w:fldCharType="end"/>
    </w:r>
  </w:p>
  <w:p w14:paraId="55A0C328">
    <w:pPr>
      <w:pStyle w:val="3"/>
      <w:ind w:right="360" w:firstLine="360"/>
      <w:jc w:val="center"/>
    </w:pPr>
  </w:p>
  <w:p w14:paraId="5C309D30">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A78B2"/>
    <w:multiLevelType w:val="singleLevel"/>
    <w:tmpl w:val="92DA78B2"/>
    <w:lvl w:ilvl="0" w:tentative="0">
      <w:start w:val="4"/>
      <w:numFmt w:val="chineseCounting"/>
      <w:suff w:val="nothing"/>
      <w:lvlText w:val="%1、"/>
      <w:lvlJc w:val="left"/>
      <w:rPr>
        <w:rFonts w:hint="eastAsia"/>
      </w:rPr>
    </w:lvl>
  </w:abstractNum>
  <w:abstractNum w:abstractNumId="1">
    <w:nsid w:val="DCAF45F3"/>
    <w:multiLevelType w:val="singleLevel"/>
    <w:tmpl w:val="DCAF45F3"/>
    <w:lvl w:ilvl="0" w:tentative="0">
      <w:start w:val="1"/>
      <w:numFmt w:val="decimal"/>
      <w:suff w:val="nothing"/>
      <w:lvlText w:val="（%1）"/>
      <w:lvlJc w:val="left"/>
    </w:lvl>
  </w:abstractNum>
  <w:abstractNum w:abstractNumId="2">
    <w:nsid w:val="E7E8780F"/>
    <w:multiLevelType w:val="singleLevel"/>
    <w:tmpl w:val="E7E8780F"/>
    <w:lvl w:ilvl="0" w:tentative="0">
      <w:start w:val="1"/>
      <w:numFmt w:val="chineseCounting"/>
      <w:suff w:val="nothing"/>
      <w:lvlText w:val="（%1）"/>
      <w:lvlJc w:val="left"/>
      <w:pPr>
        <w:ind w:left="410" w:firstLine="420"/>
      </w:pPr>
      <w:rPr>
        <w:rFonts w:hint="eastAsia"/>
        <w:b/>
      </w:rPr>
    </w:lvl>
  </w:abstractNum>
  <w:abstractNum w:abstractNumId="3">
    <w:nsid w:val="3A4DB9CE"/>
    <w:multiLevelType w:val="singleLevel"/>
    <w:tmpl w:val="3A4DB9CE"/>
    <w:lvl w:ilvl="0" w:tentative="0">
      <w:start w:val="1"/>
      <w:numFmt w:val="chineseCounting"/>
      <w:suff w:val="nothing"/>
      <w:lvlText w:val="（%1）"/>
      <w:lvlJc w:val="left"/>
      <w:pPr>
        <w:ind w:left="0" w:firstLine="420"/>
      </w:pPr>
      <w:rPr>
        <w:rFonts w:hint="eastAsia"/>
        <w:b/>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FkZTMxN2NlOTFhOWM3ZTliOTQxYmRmNjA3MzdiMWEifQ=="/>
  </w:docVars>
  <w:rsids>
    <w:rsidRoot w:val="007C6A8D"/>
    <w:rsid w:val="00015287"/>
    <w:rsid w:val="00072FB0"/>
    <w:rsid w:val="000757DF"/>
    <w:rsid w:val="000C1693"/>
    <w:rsid w:val="000C7F39"/>
    <w:rsid w:val="000D5ECC"/>
    <w:rsid w:val="00156F7B"/>
    <w:rsid w:val="00186083"/>
    <w:rsid w:val="001A4FCA"/>
    <w:rsid w:val="001E1A5E"/>
    <w:rsid w:val="001E702E"/>
    <w:rsid w:val="001F5AA4"/>
    <w:rsid w:val="00235966"/>
    <w:rsid w:val="002A7700"/>
    <w:rsid w:val="002E0FBC"/>
    <w:rsid w:val="00323B8D"/>
    <w:rsid w:val="0035757F"/>
    <w:rsid w:val="003577C2"/>
    <w:rsid w:val="00382649"/>
    <w:rsid w:val="00394B68"/>
    <w:rsid w:val="003B1900"/>
    <w:rsid w:val="003D5362"/>
    <w:rsid w:val="003F3BCB"/>
    <w:rsid w:val="00447BDD"/>
    <w:rsid w:val="004A3245"/>
    <w:rsid w:val="004B47F6"/>
    <w:rsid w:val="00510750"/>
    <w:rsid w:val="005530FC"/>
    <w:rsid w:val="00567EEA"/>
    <w:rsid w:val="0058344B"/>
    <w:rsid w:val="005A7B7C"/>
    <w:rsid w:val="005C793D"/>
    <w:rsid w:val="005D6FD8"/>
    <w:rsid w:val="006668F7"/>
    <w:rsid w:val="00670E00"/>
    <w:rsid w:val="006A08E5"/>
    <w:rsid w:val="006A0B18"/>
    <w:rsid w:val="006E2C6E"/>
    <w:rsid w:val="006F0724"/>
    <w:rsid w:val="007B1093"/>
    <w:rsid w:val="007C0C35"/>
    <w:rsid w:val="007C6A8D"/>
    <w:rsid w:val="007C77C0"/>
    <w:rsid w:val="007E03B1"/>
    <w:rsid w:val="007E16C0"/>
    <w:rsid w:val="007F11FC"/>
    <w:rsid w:val="0085384E"/>
    <w:rsid w:val="00866D4F"/>
    <w:rsid w:val="00886EBB"/>
    <w:rsid w:val="008C01DD"/>
    <w:rsid w:val="008C5E9F"/>
    <w:rsid w:val="008D3C34"/>
    <w:rsid w:val="00907B9F"/>
    <w:rsid w:val="009254A3"/>
    <w:rsid w:val="009374E9"/>
    <w:rsid w:val="0094704A"/>
    <w:rsid w:val="009803FA"/>
    <w:rsid w:val="009B6BB4"/>
    <w:rsid w:val="00A327AA"/>
    <w:rsid w:val="00AA5338"/>
    <w:rsid w:val="00AC140F"/>
    <w:rsid w:val="00AD4C3B"/>
    <w:rsid w:val="00AD7537"/>
    <w:rsid w:val="00AE1C2F"/>
    <w:rsid w:val="00AF093E"/>
    <w:rsid w:val="00B012E2"/>
    <w:rsid w:val="00B16374"/>
    <w:rsid w:val="00B9050E"/>
    <w:rsid w:val="00BB7A05"/>
    <w:rsid w:val="00BD192D"/>
    <w:rsid w:val="00C2157C"/>
    <w:rsid w:val="00C409C6"/>
    <w:rsid w:val="00C702B8"/>
    <w:rsid w:val="00CB6C81"/>
    <w:rsid w:val="00CB7FE9"/>
    <w:rsid w:val="00CC0E1B"/>
    <w:rsid w:val="00CC7C71"/>
    <w:rsid w:val="00CD69A4"/>
    <w:rsid w:val="00CE0B57"/>
    <w:rsid w:val="00D50E3A"/>
    <w:rsid w:val="00D86FE6"/>
    <w:rsid w:val="00DC002F"/>
    <w:rsid w:val="00DD1293"/>
    <w:rsid w:val="00E61598"/>
    <w:rsid w:val="00E975EF"/>
    <w:rsid w:val="00ED590D"/>
    <w:rsid w:val="00F05CC5"/>
    <w:rsid w:val="00F85BCF"/>
    <w:rsid w:val="00FA665A"/>
    <w:rsid w:val="025E172F"/>
    <w:rsid w:val="02641C78"/>
    <w:rsid w:val="04CD030F"/>
    <w:rsid w:val="0B161F7E"/>
    <w:rsid w:val="0B5A0540"/>
    <w:rsid w:val="0D361EA3"/>
    <w:rsid w:val="0DAD1D0D"/>
    <w:rsid w:val="0E5431E3"/>
    <w:rsid w:val="0EC35F79"/>
    <w:rsid w:val="0F074DED"/>
    <w:rsid w:val="0F4F501D"/>
    <w:rsid w:val="13EC7D20"/>
    <w:rsid w:val="14FC0436"/>
    <w:rsid w:val="151C2F00"/>
    <w:rsid w:val="156902B8"/>
    <w:rsid w:val="174025B9"/>
    <w:rsid w:val="17E256C1"/>
    <w:rsid w:val="17FC7E15"/>
    <w:rsid w:val="1A226249"/>
    <w:rsid w:val="1B2F50C2"/>
    <w:rsid w:val="2303614B"/>
    <w:rsid w:val="241203DA"/>
    <w:rsid w:val="241D0A0A"/>
    <w:rsid w:val="29C56527"/>
    <w:rsid w:val="2A465F84"/>
    <w:rsid w:val="2C797FDD"/>
    <w:rsid w:val="32A221C5"/>
    <w:rsid w:val="32A32ADD"/>
    <w:rsid w:val="37A52596"/>
    <w:rsid w:val="37C42B71"/>
    <w:rsid w:val="390B70FC"/>
    <w:rsid w:val="39CB1D53"/>
    <w:rsid w:val="3D270F5B"/>
    <w:rsid w:val="3E1B0AB3"/>
    <w:rsid w:val="43FB478E"/>
    <w:rsid w:val="44801E36"/>
    <w:rsid w:val="453E3B21"/>
    <w:rsid w:val="45777C3F"/>
    <w:rsid w:val="468723DA"/>
    <w:rsid w:val="483D3166"/>
    <w:rsid w:val="48931F3C"/>
    <w:rsid w:val="4907292A"/>
    <w:rsid w:val="4B4A4A52"/>
    <w:rsid w:val="4DF933A6"/>
    <w:rsid w:val="4E9C316B"/>
    <w:rsid w:val="4FD37F56"/>
    <w:rsid w:val="50C6356D"/>
    <w:rsid w:val="50E05F3B"/>
    <w:rsid w:val="50FC598F"/>
    <w:rsid w:val="5294553A"/>
    <w:rsid w:val="5A3367C7"/>
    <w:rsid w:val="5DF106FD"/>
    <w:rsid w:val="64F84CFF"/>
    <w:rsid w:val="66420C45"/>
    <w:rsid w:val="665F74AA"/>
    <w:rsid w:val="6D42333F"/>
    <w:rsid w:val="70AA55EC"/>
    <w:rsid w:val="749776B4"/>
    <w:rsid w:val="7AE709C5"/>
    <w:rsid w:val="7C0B7439"/>
    <w:rsid w:val="7D406316"/>
    <w:rsid w:val="7D651FF3"/>
    <w:rsid w:val="7E1A7A97"/>
    <w:rsid w:val="7EC0622A"/>
    <w:rsid w:val="7EE77EF0"/>
    <w:rsid w:val="7F866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customStyle="1" w:styleId="10">
    <w:name w:val="批注框文本 字符"/>
    <w:basedOn w:val="8"/>
    <w:link w:val="2"/>
    <w:semiHidden/>
    <w:qFormat/>
    <w:uiPriority w:val="99"/>
    <w:rPr>
      <w:rFonts w:ascii="Times New Roman" w:hAnsi="Times New Roman" w:eastAsia="宋体" w:cs="Times New Roman"/>
      <w:sz w:val="18"/>
      <w:szCs w:val="18"/>
    </w:rPr>
  </w:style>
  <w:style w:type="character" w:customStyle="1" w:styleId="11">
    <w:name w:val="页眉 字符"/>
    <w:basedOn w:val="8"/>
    <w:link w:val="4"/>
    <w:semiHidden/>
    <w:qFormat/>
    <w:uiPriority w:val="99"/>
    <w:rPr>
      <w:rFonts w:ascii="Times New Roman" w:hAnsi="Times New Roman" w:eastAsia="宋体" w:cs="Times New Roman"/>
      <w:sz w:val="18"/>
      <w:szCs w:val="18"/>
    </w:rPr>
  </w:style>
  <w:style w:type="character" w:customStyle="1" w:styleId="12">
    <w:name w:val="页脚 字符"/>
    <w:basedOn w:val="8"/>
    <w:link w:val="3"/>
    <w:semiHidden/>
    <w:qFormat/>
    <w:uiPriority w:val="99"/>
    <w:rPr>
      <w:rFonts w:ascii="Times New Roman" w:hAnsi="Times New Roman" w:eastAsia="宋体" w:cs="Times New Roman"/>
      <w:sz w:val="18"/>
      <w:szCs w:val="18"/>
    </w:rPr>
  </w:style>
  <w:style w:type="character" w:customStyle="1" w:styleId="13">
    <w:name w:val="font41"/>
    <w:basedOn w:val="8"/>
    <w:qFormat/>
    <w:uiPriority w:val="0"/>
    <w:rPr>
      <w:rFonts w:hint="eastAsia" w:ascii="宋体" w:hAnsi="宋体" w:eastAsia="宋体" w:cs="宋体"/>
      <w:b/>
      <w:color w:val="FF0000"/>
      <w:sz w:val="22"/>
      <w:szCs w:val="22"/>
      <w:u w:val="none"/>
    </w:rPr>
  </w:style>
  <w:style w:type="character" w:customStyle="1" w:styleId="14">
    <w:name w:val="font61"/>
    <w:basedOn w:val="8"/>
    <w:qFormat/>
    <w:uiPriority w:val="0"/>
    <w:rPr>
      <w:rFonts w:hint="eastAsia" w:ascii="宋体" w:hAnsi="宋体" w:eastAsia="宋体" w:cs="宋体"/>
      <w:b/>
      <w:color w:val="000000"/>
      <w:sz w:val="22"/>
      <w:szCs w:val="22"/>
      <w:u w:val="none"/>
    </w:rPr>
  </w:style>
  <w:style w:type="character" w:customStyle="1" w:styleId="15">
    <w:name w:val="font21"/>
    <w:basedOn w:val="8"/>
    <w:qFormat/>
    <w:uiPriority w:val="0"/>
    <w:rPr>
      <w:rFonts w:hint="eastAsia" w:ascii="宋体" w:hAnsi="宋体" w:eastAsia="宋体" w:cs="宋体"/>
      <w:b/>
      <w:color w:val="000000"/>
      <w:sz w:val="22"/>
      <w:szCs w:val="22"/>
      <w:u w:val="none"/>
    </w:rPr>
  </w:style>
  <w:style w:type="character" w:customStyle="1" w:styleId="16">
    <w:name w:val="font31"/>
    <w:basedOn w:val="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4820</Words>
  <Characters>5048</Characters>
  <Lines>43</Lines>
  <Paragraphs>12</Paragraphs>
  <TotalTime>9</TotalTime>
  <ScaleCrop>false</ScaleCrop>
  <LinksUpToDate>false</LinksUpToDate>
  <CharactersWithSpaces>5049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2021-12-30T06:26:00Z</dcterms:created>
  <dc:creator>桂鑫</dc:creator>
  <cp:lastModifiedBy>瑶kelly</cp:lastModifiedBy>
  <dcterms:modified xsi:type="dcterms:W3CDTF">2024-10-18T01:11:46Z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4E2ACFD5CB2F42E097463F0D9BBB832A</vt:lpwstr>
  </property>
</Properties>
</file>