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F97" w:rsidRDefault="00AA5F97">
      <w:pPr>
        <w:spacing w:line="360" w:lineRule="auto"/>
        <w:jc w:val="center"/>
        <w:rPr>
          <w:rFonts w:ascii="宋体" w:hAnsi="宋体"/>
          <w:b/>
          <w:bCs/>
          <w:sz w:val="36"/>
          <w:szCs w:val="36"/>
        </w:rPr>
      </w:pPr>
    </w:p>
    <w:p w:rsidR="00AA5F97" w:rsidRDefault="00AA5F97">
      <w:pPr>
        <w:spacing w:line="360" w:lineRule="auto"/>
        <w:jc w:val="center"/>
        <w:rPr>
          <w:rFonts w:ascii="宋体" w:hAnsi="宋体"/>
          <w:b/>
          <w:bCs/>
          <w:sz w:val="36"/>
          <w:szCs w:val="36"/>
        </w:rPr>
      </w:pPr>
    </w:p>
    <w:p w:rsidR="00AA5F97" w:rsidRDefault="00F35CC7">
      <w:pPr>
        <w:spacing w:line="360" w:lineRule="auto"/>
        <w:jc w:val="center"/>
        <w:rPr>
          <w:rFonts w:asciiTheme="minorEastAsia" w:hAnsiTheme="minorEastAsia"/>
          <w:b/>
          <w:bCs/>
          <w:sz w:val="44"/>
          <w:szCs w:val="44"/>
        </w:rPr>
      </w:pPr>
      <w:r>
        <w:rPr>
          <w:rFonts w:asciiTheme="minorEastAsia" w:hAnsiTheme="minorEastAsia" w:hint="eastAsia"/>
          <w:b/>
          <w:bCs/>
          <w:sz w:val="44"/>
          <w:szCs w:val="44"/>
        </w:rPr>
        <w:t>深圳市第二高级中学2018年</w:t>
      </w:r>
    </w:p>
    <w:p w:rsidR="00AA5F97" w:rsidRDefault="00F35CC7">
      <w:pPr>
        <w:jc w:val="center"/>
        <w:rPr>
          <w:rFonts w:asciiTheme="minorEastAsia" w:hAnsiTheme="minorEastAsia"/>
          <w:sz w:val="44"/>
          <w:szCs w:val="44"/>
        </w:rPr>
      </w:pPr>
      <w:r>
        <w:rPr>
          <w:rFonts w:asciiTheme="minorEastAsia" w:hAnsiTheme="minorEastAsia" w:hint="eastAsia"/>
          <w:b/>
          <w:bCs/>
          <w:sz w:val="44"/>
          <w:szCs w:val="44"/>
        </w:rPr>
        <w:t>音视频及广播系统维修、维护工程</w:t>
      </w:r>
    </w:p>
    <w:p w:rsidR="00AA5F97" w:rsidRDefault="00AA5F97">
      <w:pPr>
        <w:widowControl/>
        <w:snapToGrid w:val="0"/>
        <w:spacing w:line="375" w:lineRule="atLeast"/>
        <w:jc w:val="center"/>
        <w:rPr>
          <w:rFonts w:asciiTheme="minorEastAsia" w:hAnsiTheme="minorEastAsia"/>
          <w:b/>
          <w:bCs/>
          <w:kern w:val="0"/>
          <w:sz w:val="44"/>
          <w:szCs w:val="44"/>
        </w:rPr>
      </w:pPr>
    </w:p>
    <w:p w:rsidR="00AA5F97" w:rsidRDefault="00AA5F97">
      <w:pPr>
        <w:widowControl/>
        <w:snapToGrid w:val="0"/>
        <w:spacing w:before="100" w:beforeAutospacing="1" w:after="100" w:afterAutospacing="1" w:line="375" w:lineRule="atLeast"/>
        <w:jc w:val="left"/>
        <w:rPr>
          <w:rFonts w:ascii="宋体" w:hAnsi="宋体"/>
          <w:kern w:val="0"/>
          <w:sz w:val="32"/>
          <w:szCs w:val="32"/>
        </w:rPr>
      </w:pPr>
    </w:p>
    <w:p w:rsidR="00AA5F97" w:rsidRDefault="00F35CC7">
      <w:pPr>
        <w:widowControl/>
        <w:snapToGrid w:val="0"/>
        <w:spacing w:before="100" w:beforeAutospacing="1" w:after="100" w:afterAutospacing="1" w:line="375" w:lineRule="atLeast"/>
        <w:jc w:val="left"/>
        <w:rPr>
          <w:rFonts w:ascii="宋体" w:hAnsi="宋体"/>
          <w:b/>
          <w:bCs/>
          <w:kern w:val="0"/>
          <w:sz w:val="48"/>
          <w:szCs w:val="48"/>
        </w:rPr>
      </w:pPr>
      <w:r>
        <w:rPr>
          <w:rFonts w:ascii="宋体" w:hAnsi="宋体" w:hint="eastAsia"/>
          <w:b/>
          <w:bCs/>
          <w:kern w:val="0"/>
          <w:sz w:val="48"/>
          <w:szCs w:val="48"/>
        </w:rPr>
        <w:t xml:space="preserve"> </w:t>
      </w:r>
    </w:p>
    <w:p w:rsidR="00AA5F97" w:rsidRDefault="00F35CC7">
      <w:pPr>
        <w:widowControl/>
        <w:wordWrap w:val="0"/>
        <w:snapToGrid w:val="0"/>
        <w:spacing w:before="100" w:beforeAutospacing="1" w:after="100" w:afterAutospacing="1" w:line="375" w:lineRule="atLeast"/>
        <w:ind w:firstLineChars="197" w:firstLine="1661"/>
        <w:jc w:val="left"/>
        <w:rPr>
          <w:rFonts w:ascii="宋体" w:hAnsi="宋体"/>
          <w:b/>
          <w:bCs/>
          <w:kern w:val="0"/>
          <w:sz w:val="84"/>
          <w:szCs w:val="84"/>
        </w:rPr>
      </w:pPr>
      <w:r>
        <w:rPr>
          <w:rFonts w:ascii="宋体" w:hAnsi="宋体" w:hint="eastAsia"/>
          <w:b/>
          <w:bCs/>
          <w:kern w:val="0"/>
          <w:sz w:val="84"/>
          <w:szCs w:val="84"/>
        </w:rPr>
        <w:t>招 标 文 件</w:t>
      </w:r>
    </w:p>
    <w:p w:rsidR="006978DB" w:rsidRDefault="006978DB" w:rsidP="006978DB">
      <w:pPr>
        <w:widowControl/>
        <w:spacing w:line="480" w:lineRule="exact"/>
        <w:jc w:val="center"/>
        <w:rPr>
          <w:rFonts w:ascii="宋体" w:eastAsia="宋体" w:hAnsi="宋体" w:cs="Times New Roman"/>
          <w:b/>
          <w:bCs/>
          <w:color w:val="FF0000"/>
          <w:kern w:val="0"/>
          <w:sz w:val="28"/>
          <w:szCs w:val="28"/>
        </w:rPr>
      </w:pPr>
      <w:r>
        <w:rPr>
          <w:rFonts w:ascii="宋体" w:eastAsia="宋体" w:hAnsi="宋体" w:cs="Times New Roman" w:hint="eastAsia"/>
          <w:b/>
          <w:bCs/>
          <w:color w:val="FF0000"/>
          <w:kern w:val="0"/>
          <w:sz w:val="28"/>
          <w:szCs w:val="28"/>
          <w:highlight w:val="yellow"/>
        </w:rPr>
        <w:t>招标编号：</w:t>
      </w:r>
      <w:r>
        <w:rPr>
          <w:rFonts w:ascii="宋体" w:eastAsia="宋体" w:hAnsi="宋体" w:cs="Times New Roman"/>
          <w:b/>
          <w:bCs/>
          <w:color w:val="FF0000"/>
          <w:kern w:val="0"/>
          <w:sz w:val="28"/>
          <w:szCs w:val="28"/>
          <w:highlight w:val="yellow"/>
        </w:rPr>
        <w:t>SZ2G201-ZB1003</w:t>
      </w:r>
    </w:p>
    <w:p w:rsidR="00AA5F97" w:rsidRDefault="00AA5F97">
      <w:pPr>
        <w:widowControl/>
        <w:snapToGrid w:val="0"/>
        <w:spacing w:before="100" w:beforeAutospacing="1" w:after="100" w:afterAutospacing="1" w:line="360" w:lineRule="auto"/>
        <w:jc w:val="left"/>
        <w:rPr>
          <w:rFonts w:ascii="宋体" w:hAnsi="宋体"/>
          <w:b/>
          <w:bCs/>
          <w:kern w:val="0"/>
          <w:sz w:val="32"/>
          <w:szCs w:val="32"/>
        </w:rPr>
      </w:pPr>
    </w:p>
    <w:p w:rsidR="00AA5F97" w:rsidRDefault="00F35CC7">
      <w:pPr>
        <w:widowControl/>
        <w:snapToGrid w:val="0"/>
        <w:spacing w:before="100" w:beforeAutospacing="1" w:after="100" w:afterAutospacing="1" w:line="360" w:lineRule="auto"/>
        <w:jc w:val="left"/>
        <w:rPr>
          <w:rFonts w:ascii="宋体" w:hAnsi="宋体"/>
          <w:b/>
          <w:bCs/>
          <w:kern w:val="0"/>
          <w:sz w:val="32"/>
          <w:szCs w:val="32"/>
        </w:rPr>
      </w:pPr>
      <w:r>
        <w:rPr>
          <w:rFonts w:ascii="宋体" w:hAnsi="宋体" w:hint="eastAsia"/>
          <w:b/>
          <w:bCs/>
          <w:kern w:val="0"/>
          <w:sz w:val="32"/>
          <w:szCs w:val="32"/>
        </w:rPr>
        <w:t xml:space="preserve"> </w:t>
      </w:r>
    </w:p>
    <w:p w:rsidR="00AA5F97" w:rsidRDefault="00AA5F97">
      <w:pPr>
        <w:widowControl/>
        <w:snapToGrid w:val="0"/>
        <w:spacing w:before="100" w:beforeAutospacing="1" w:after="100" w:afterAutospacing="1" w:line="360" w:lineRule="auto"/>
        <w:jc w:val="left"/>
        <w:rPr>
          <w:rFonts w:ascii="宋体" w:hAnsi="宋体"/>
          <w:b/>
          <w:bCs/>
          <w:kern w:val="0"/>
          <w:sz w:val="32"/>
          <w:szCs w:val="32"/>
        </w:rPr>
      </w:pPr>
    </w:p>
    <w:p w:rsidR="00AA5F97" w:rsidRDefault="00AA5F97">
      <w:pPr>
        <w:widowControl/>
        <w:snapToGrid w:val="0"/>
        <w:spacing w:before="100" w:beforeAutospacing="1" w:after="100" w:afterAutospacing="1" w:line="360" w:lineRule="auto"/>
        <w:jc w:val="left"/>
        <w:rPr>
          <w:rFonts w:ascii="宋体" w:hAnsi="宋体"/>
          <w:b/>
          <w:bCs/>
          <w:kern w:val="0"/>
          <w:sz w:val="32"/>
          <w:szCs w:val="32"/>
        </w:rPr>
      </w:pPr>
    </w:p>
    <w:p w:rsidR="00AA5F97" w:rsidRDefault="00F35CC7">
      <w:pPr>
        <w:widowControl/>
        <w:snapToGrid w:val="0"/>
        <w:spacing w:before="100" w:beforeAutospacing="1" w:after="100" w:afterAutospacing="1" w:line="360" w:lineRule="auto"/>
        <w:jc w:val="left"/>
        <w:rPr>
          <w:rFonts w:ascii="宋体" w:hAnsi="宋体"/>
          <w:b/>
          <w:bCs/>
          <w:kern w:val="0"/>
          <w:sz w:val="32"/>
          <w:szCs w:val="32"/>
        </w:rPr>
      </w:pPr>
      <w:r>
        <w:rPr>
          <w:rFonts w:ascii="宋体" w:hAnsi="宋体" w:hint="eastAsia"/>
          <w:b/>
          <w:bCs/>
          <w:kern w:val="0"/>
          <w:sz w:val="32"/>
          <w:szCs w:val="32"/>
        </w:rPr>
        <w:t xml:space="preserve"> </w:t>
      </w:r>
    </w:p>
    <w:p w:rsidR="00AA5F97" w:rsidRDefault="00F35CC7" w:rsidP="006978DB">
      <w:pPr>
        <w:widowControl/>
        <w:snapToGrid w:val="0"/>
        <w:spacing w:before="100" w:beforeAutospacing="1" w:after="100" w:afterAutospacing="1" w:line="360" w:lineRule="auto"/>
        <w:ind w:right="420" w:firstLineChars="150" w:firstLine="422"/>
        <w:jc w:val="center"/>
        <w:rPr>
          <w:rFonts w:ascii="黑体" w:eastAsia="黑体" w:hAnsi="宋体" w:cs="宋体"/>
          <w:b/>
          <w:bCs/>
          <w:kern w:val="0"/>
          <w:sz w:val="28"/>
          <w:szCs w:val="28"/>
        </w:rPr>
      </w:pPr>
      <w:r>
        <w:rPr>
          <w:rFonts w:ascii="黑体" w:eastAsia="黑体" w:hAnsi="宋体" w:cs="宋体" w:hint="eastAsia"/>
          <w:b/>
          <w:bCs/>
          <w:kern w:val="0"/>
          <w:sz w:val="28"/>
          <w:szCs w:val="28"/>
        </w:rPr>
        <w:t>深圳市第二高级中学</w:t>
      </w:r>
    </w:p>
    <w:p w:rsidR="00AA5F97" w:rsidRDefault="00F35CC7" w:rsidP="006978DB">
      <w:pPr>
        <w:widowControl/>
        <w:snapToGrid w:val="0"/>
        <w:spacing w:before="100" w:beforeAutospacing="1" w:after="100" w:afterAutospacing="1" w:line="360" w:lineRule="auto"/>
        <w:ind w:right="420" w:firstLineChars="150" w:firstLine="422"/>
        <w:jc w:val="center"/>
        <w:rPr>
          <w:rFonts w:ascii="黑体" w:eastAsia="黑体" w:hAnsi="宋体" w:cs="宋体"/>
          <w:b/>
          <w:bCs/>
          <w:kern w:val="0"/>
          <w:sz w:val="28"/>
          <w:szCs w:val="28"/>
        </w:rPr>
      </w:pPr>
      <w:r>
        <w:rPr>
          <w:rFonts w:ascii="黑体" w:eastAsia="黑体" w:hAnsi="宋体" w:cs="宋体" w:hint="eastAsia"/>
          <w:b/>
          <w:bCs/>
          <w:kern w:val="0"/>
          <w:sz w:val="28"/>
          <w:szCs w:val="28"/>
        </w:rPr>
        <w:t>2018年01月04日</w:t>
      </w:r>
    </w:p>
    <w:p w:rsidR="00AA5F97" w:rsidRDefault="00AA5F97">
      <w:pPr>
        <w:spacing w:line="360" w:lineRule="auto"/>
        <w:jc w:val="center"/>
        <w:rPr>
          <w:rFonts w:asciiTheme="minorEastAsia" w:hAnsiTheme="minorEastAsia" w:cs="Helvetica"/>
          <w:b/>
          <w:bCs/>
          <w:kern w:val="0"/>
          <w:sz w:val="24"/>
          <w:szCs w:val="24"/>
        </w:rPr>
      </w:pPr>
    </w:p>
    <w:p w:rsidR="00AA5F97" w:rsidRDefault="00AA5F97"/>
    <w:p w:rsidR="00625749" w:rsidRPr="00625749" w:rsidRDefault="006978DB">
      <w:pPr>
        <w:widowControl/>
        <w:shd w:val="clear" w:color="auto" w:fill="F8F8F8"/>
        <w:spacing w:after="150"/>
        <w:jc w:val="center"/>
        <w:rPr>
          <w:rFonts w:ascii="宋体" w:eastAsia="宋体" w:hAnsi="宋体" w:cs="Helvetica"/>
          <w:b/>
          <w:bCs/>
          <w:kern w:val="0"/>
          <w:sz w:val="30"/>
        </w:rPr>
      </w:pPr>
      <w:r>
        <w:rPr>
          <w:rFonts w:ascii="宋体" w:eastAsia="宋体" w:hAnsi="宋体" w:cs="Helvetica" w:hint="eastAsia"/>
          <w:b/>
          <w:bCs/>
          <w:kern w:val="0"/>
          <w:sz w:val="30"/>
        </w:rPr>
        <w:t>第一章</w:t>
      </w:r>
    </w:p>
    <w:p w:rsidR="00AA5F97" w:rsidRDefault="00F35CC7">
      <w:pPr>
        <w:pStyle w:val="a6"/>
        <w:widowControl/>
        <w:numPr>
          <w:ilvl w:val="0"/>
          <w:numId w:val="1"/>
        </w:numPr>
        <w:shd w:val="clear" w:color="auto" w:fill="F8F8F8"/>
        <w:spacing w:line="360" w:lineRule="auto"/>
        <w:ind w:firstLineChars="0"/>
        <w:jc w:val="left"/>
        <w:rPr>
          <w:rFonts w:ascii="宋体" w:eastAsia="宋体" w:hAnsi="宋体" w:cs="Helvetica"/>
          <w:b/>
          <w:bCs/>
          <w:kern w:val="0"/>
          <w:sz w:val="30"/>
        </w:rPr>
      </w:pPr>
      <w:r>
        <w:rPr>
          <w:rFonts w:ascii="宋体" w:eastAsia="宋体" w:hAnsi="宋体" w:cs="Helvetica" w:hint="eastAsia"/>
          <w:b/>
          <w:bCs/>
          <w:kern w:val="0"/>
          <w:sz w:val="30"/>
        </w:rPr>
        <w:t>投标人须知</w:t>
      </w:r>
    </w:p>
    <w:p w:rsidR="00AA5F97" w:rsidRDefault="00F35CC7">
      <w:pPr>
        <w:spacing w:line="360" w:lineRule="auto"/>
        <w:rPr>
          <w:rFonts w:asciiTheme="minorEastAsia" w:hAnsiTheme="minorEastAsia"/>
          <w:color w:val="333333"/>
          <w:kern w:val="0"/>
          <w:sz w:val="24"/>
          <w:szCs w:val="24"/>
        </w:rPr>
      </w:pPr>
      <w:r>
        <w:rPr>
          <w:rFonts w:asciiTheme="minorEastAsia" w:hAnsiTheme="minorEastAsia" w:hint="eastAsia"/>
          <w:color w:val="333333"/>
          <w:kern w:val="0"/>
          <w:sz w:val="24"/>
          <w:szCs w:val="24"/>
        </w:rPr>
        <w:t xml:space="preserve">1、投标人资格要求： </w:t>
      </w:r>
    </w:p>
    <w:p w:rsidR="00AA5F97" w:rsidRDefault="00F35CC7">
      <w:pPr>
        <w:numPr>
          <w:ilvl w:val="0"/>
          <w:numId w:val="2"/>
        </w:numPr>
        <w:spacing w:line="360" w:lineRule="auto"/>
        <w:rPr>
          <w:rFonts w:asciiTheme="minorEastAsia" w:hAnsiTheme="minorEastAsia"/>
          <w:color w:val="333333"/>
          <w:kern w:val="0"/>
          <w:sz w:val="24"/>
          <w:szCs w:val="24"/>
        </w:rPr>
      </w:pPr>
      <w:r>
        <w:rPr>
          <w:rFonts w:asciiTheme="minorEastAsia" w:hAnsiTheme="minorEastAsia" w:hint="eastAsia"/>
          <w:color w:val="333333"/>
          <w:kern w:val="0"/>
          <w:sz w:val="24"/>
          <w:szCs w:val="24"/>
        </w:rPr>
        <w:t xml:space="preserve">投标人必须是在中华人民共和国境内注册的独立法人； </w:t>
      </w:r>
    </w:p>
    <w:p w:rsidR="00AA5F97" w:rsidRDefault="00F35CC7">
      <w:pPr>
        <w:numPr>
          <w:ilvl w:val="0"/>
          <w:numId w:val="2"/>
        </w:numPr>
        <w:spacing w:line="360" w:lineRule="auto"/>
        <w:rPr>
          <w:rFonts w:asciiTheme="minorEastAsia" w:hAnsiTheme="minorEastAsia"/>
          <w:color w:val="333333"/>
          <w:kern w:val="0"/>
          <w:sz w:val="24"/>
          <w:szCs w:val="24"/>
        </w:rPr>
      </w:pPr>
      <w:r>
        <w:rPr>
          <w:rFonts w:asciiTheme="minorEastAsia" w:hAnsiTheme="minorEastAsia" w:hint="eastAsia"/>
          <w:color w:val="333333"/>
          <w:kern w:val="0"/>
          <w:sz w:val="24"/>
          <w:szCs w:val="24"/>
        </w:rPr>
        <w:t>具有相关的经营范围；</w:t>
      </w:r>
    </w:p>
    <w:p w:rsidR="00AA5F97" w:rsidRDefault="00F35CC7">
      <w:pPr>
        <w:numPr>
          <w:ilvl w:val="0"/>
          <w:numId w:val="2"/>
        </w:numPr>
        <w:spacing w:line="360" w:lineRule="auto"/>
        <w:rPr>
          <w:rFonts w:asciiTheme="minorEastAsia" w:hAnsiTheme="minorEastAsia"/>
          <w:color w:val="333333"/>
          <w:kern w:val="0"/>
          <w:sz w:val="24"/>
          <w:szCs w:val="24"/>
        </w:rPr>
      </w:pPr>
      <w:r>
        <w:rPr>
          <w:rFonts w:asciiTheme="minorEastAsia" w:hAnsiTheme="minorEastAsia" w:hint="eastAsia"/>
          <w:color w:val="333333"/>
          <w:kern w:val="0"/>
          <w:sz w:val="24"/>
          <w:szCs w:val="24"/>
        </w:rPr>
        <w:t>投标人必须先行注册为深圳市政府采购中心的供应商；</w:t>
      </w:r>
    </w:p>
    <w:p w:rsidR="00AA5F97" w:rsidRDefault="00F35CC7">
      <w:pPr>
        <w:numPr>
          <w:ilvl w:val="0"/>
          <w:numId w:val="2"/>
        </w:numPr>
        <w:spacing w:line="360" w:lineRule="auto"/>
        <w:rPr>
          <w:rFonts w:asciiTheme="minorEastAsia" w:hAnsiTheme="minorEastAsia"/>
          <w:color w:val="333333"/>
          <w:kern w:val="0"/>
          <w:sz w:val="24"/>
          <w:szCs w:val="24"/>
        </w:rPr>
      </w:pPr>
      <w:r>
        <w:rPr>
          <w:rFonts w:asciiTheme="minorEastAsia" w:hAnsiTheme="minorEastAsia" w:hint="eastAsia"/>
          <w:color w:val="333333"/>
          <w:kern w:val="0"/>
          <w:sz w:val="24"/>
          <w:szCs w:val="24"/>
        </w:rPr>
        <w:t>投标人在深圳地区有售后服务机构，及相应的售后服务措施，以提供的工商注册证明或办公租赁合同为准；</w:t>
      </w:r>
    </w:p>
    <w:p w:rsidR="00AA5F97" w:rsidRDefault="00F35CC7">
      <w:pPr>
        <w:numPr>
          <w:ilvl w:val="0"/>
          <w:numId w:val="2"/>
        </w:numPr>
        <w:spacing w:line="360" w:lineRule="auto"/>
        <w:rPr>
          <w:rFonts w:asciiTheme="minorEastAsia" w:hAnsiTheme="minorEastAsia"/>
          <w:color w:val="333333"/>
          <w:kern w:val="0"/>
          <w:sz w:val="24"/>
          <w:szCs w:val="24"/>
        </w:rPr>
      </w:pPr>
      <w:r>
        <w:rPr>
          <w:rFonts w:asciiTheme="minorEastAsia" w:hAnsiTheme="minorEastAsia" w:hint="eastAsia"/>
          <w:color w:val="333333"/>
          <w:kern w:val="0"/>
          <w:sz w:val="24"/>
          <w:szCs w:val="24"/>
        </w:rPr>
        <w:t>投标人具有IP广播及模拟广播案例</w:t>
      </w:r>
    </w:p>
    <w:p w:rsidR="00AA5F97" w:rsidRDefault="00F35CC7">
      <w:pPr>
        <w:numPr>
          <w:ilvl w:val="0"/>
          <w:numId w:val="2"/>
        </w:numPr>
        <w:spacing w:line="360" w:lineRule="auto"/>
        <w:rPr>
          <w:rFonts w:asciiTheme="minorEastAsia" w:hAnsiTheme="minorEastAsia"/>
          <w:color w:val="333333"/>
          <w:kern w:val="0"/>
          <w:sz w:val="24"/>
          <w:szCs w:val="24"/>
        </w:rPr>
      </w:pPr>
      <w:r>
        <w:rPr>
          <w:rFonts w:asciiTheme="minorEastAsia" w:hAnsiTheme="minorEastAsia" w:hint="eastAsia"/>
          <w:color w:val="333333"/>
          <w:kern w:val="0"/>
          <w:sz w:val="24"/>
          <w:szCs w:val="24"/>
        </w:rPr>
        <w:t>符合招标文件规定的其他资质要求。</w:t>
      </w:r>
    </w:p>
    <w:p w:rsidR="00AA5F97" w:rsidRDefault="00F35CC7">
      <w:pPr>
        <w:widowControl/>
        <w:shd w:val="clear" w:color="auto" w:fill="F8F8F8"/>
        <w:spacing w:line="360" w:lineRule="auto"/>
        <w:ind w:left="420" w:hangingChars="175" w:hanging="420"/>
        <w:jc w:val="left"/>
        <w:rPr>
          <w:rFonts w:asciiTheme="minorEastAsia" w:hAnsiTheme="minorEastAsia" w:cs="Helvetica"/>
          <w:color w:val="333333"/>
          <w:kern w:val="0"/>
          <w:sz w:val="24"/>
          <w:szCs w:val="24"/>
        </w:rPr>
      </w:pPr>
      <w:r>
        <w:rPr>
          <w:rFonts w:asciiTheme="minorEastAsia" w:hAnsiTheme="minorEastAsia" w:cs="Helvetica" w:hint="eastAsia"/>
          <w:color w:val="333333"/>
          <w:kern w:val="0"/>
          <w:sz w:val="24"/>
          <w:szCs w:val="24"/>
        </w:rPr>
        <w:t>2、投标人接到的招标文件后，若有疑问，应在</w:t>
      </w:r>
      <w:r>
        <w:rPr>
          <w:rFonts w:asciiTheme="minorEastAsia" w:hAnsiTheme="minorEastAsia" w:cs="Helvetica"/>
          <w:color w:val="333333"/>
          <w:kern w:val="0"/>
          <w:sz w:val="24"/>
          <w:szCs w:val="24"/>
        </w:rPr>
        <w:t>3</w:t>
      </w:r>
      <w:r>
        <w:rPr>
          <w:rFonts w:asciiTheme="minorEastAsia" w:hAnsiTheme="minorEastAsia" w:cs="Helvetica" w:hint="eastAsia"/>
          <w:color w:val="333333"/>
          <w:kern w:val="0"/>
          <w:sz w:val="24"/>
          <w:szCs w:val="24"/>
        </w:rPr>
        <w:t>天内提出书面意见并送达招标人，由招标人统一书面答疑，逾期不予解答。</w:t>
      </w:r>
    </w:p>
    <w:p w:rsidR="00AA5F97" w:rsidRDefault="00F35CC7" w:rsidP="00F35CC7">
      <w:pPr>
        <w:widowControl/>
        <w:shd w:val="clear" w:color="auto" w:fill="F8F8F8"/>
        <w:spacing w:line="360" w:lineRule="auto"/>
        <w:ind w:left="346" w:hangingChars="144" w:hanging="346"/>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3</w:t>
      </w:r>
      <w:r>
        <w:rPr>
          <w:rFonts w:asciiTheme="minorEastAsia" w:hAnsiTheme="minorEastAsia" w:cs="Helvetica" w:hint="eastAsia"/>
          <w:color w:val="333333"/>
          <w:kern w:val="0"/>
          <w:sz w:val="24"/>
          <w:szCs w:val="24"/>
        </w:rPr>
        <w:t>、投标人必须严格按规定进行投标，不得行贿、哄抬标价，隐瞒事实真相，损害招标人和其他投标人利益。</w:t>
      </w:r>
    </w:p>
    <w:p w:rsidR="00AA5F97" w:rsidRDefault="00F35CC7" w:rsidP="00F35CC7">
      <w:pPr>
        <w:widowControl/>
        <w:shd w:val="clear" w:color="auto" w:fill="F8F8F8"/>
        <w:spacing w:line="360" w:lineRule="auto"/>
        <w:ind w:left="346" w:hangingChars="144" w:hanging="346"/>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4</w:t>
      </w:r>
      <w:r>
        <w:rPr>
          <w:rFonts w:asciiTheme="minorEastAsia" w:hAnsiTheme="minorEastAsia" w:cs="Helvetica" w:hint="eastAsia"/>
          <w:color w:val="333333"/>
          <w:kern w:val="0"/>
          <w:sz w:val="24"/>
          <w:szCs w:val="24"/>
        </w:rPr>
        <w:t>、严格按照合同的要求履行合同，任何中标单位都不得就合同标的时间、技术规格以及其他的合同条款进行变更，如果擅自更改，必须承担造成的损失。</w:t>
      </w:r>
    </w:p>
    <w:p w:rsidR="00AA5F97" w:rsidRDefault="00F35CC7">
      <w:pPr>
        <w:widowControl/>
        <w:shd w:val="clear" w:color="auto" w:fill="F8F8F8"/>
        <w:spacing w:line="360" w:lineRule="auto"/>
        <w:ind w:left="420" w:hangingChars="175" w:hanging="420"/>
        <w:jc w:val="left"/>
        <w:rPr>
          <w:rFonts w:asciiTheme="minorEastAsia" w:hAnsiTheme="minorEastAsia" w:cs="Helvetica"/>
          <w:color w:val="333333"/>
          <w:kern w:val="0"/>
          <w:sz w:val="24"/>
          <w:szCs w:val="24"/>
        </w:rPr>
      </w:pPr>
      <w:r>
        <w:rPr>
          <w:rFonts w:asciiTheme="minorEastAsia" w:hAnsiTheme="minorEastAsia" w:cs="Helvetica"/>
          <w:color w:val="333333"/>
          <w:kern w:val="0"/>
          <w:sz w:val="24"/>
          <w:szCs w:val="24"/>
        </w:rPr>
        <w:t>5</w:t>
      </w:r>
      <w:r>
        <w:rPr>
          <w:rFonts w:asciiTheme="minorEastAsia" w:hAnsiTheme="minorEastAsia" w:cs="Helvetica" w:hint="eastAsia"/>
          <w:color w:val="333333"/>
          <w:kern w:val="0"/>
          <w:sz w:val="24"/>
          <w:szCs w:val="24"/>
        </w:rPr>
        <w:t>、中标单位在修保设备过程中应注意文明，保持修保现场及周围环境的清洁，损坏安装现场物品或原有建筑，应当原价赔偿。</w:t>
      </w:r>
    </w:p>
    <w:p w:rsidR="00F35CC7" w:rsidRDefault="00F35CC7" w:rsidP="00F35CC7">
      <w:pPr>
        <w:widowControl/>
        <w:shd w:val="clear" w:color="auto" w:fill="F8F8F8"/>
        <w:spacing w:line="360" w:lineRule="auto"/>
        <w:ind w:left="385" w:hangingChars="175" w:hanging="385"/>
        <w:jc w:val="left"/>
        <w:rPr>
          <w:rFonts w:cs="Helvetica"/>
          <w:color w:val="333333"/>
          <w:sz w:val="22"/>
        </w:rPr>
      </w:pPr>
      <w:r>
        <w:rPr>
          <w:rFonts w:ascii="Helvetica" w:hAnsi="Helvetica" w:cs="Helvetica" w:hint="eastAsia"/>
          <w:color w:val="333333"/>
          <w:sz w:val="22"/>
        </w:rPr>
        <w:t>6</w:t>
      </w:r>
      <w:r>
        <w:rPr>
          <w:rFonts w:cs="Helvetica" w:hint="eastAsia"/>
          <w:color w:val="333333"/>
          <w:sz w:val="22"/>
        </w:rPr>
        <w:t>、项目工期要求：</w:t>
      </w:r>
      <w:r>
        <w:rPr>
          <w:rFonts w:ascii="Helvetica" w:hAnsi="Helvetica" w:cs="Helvetica"/>
          <w:color w:val="333333"/>
          <w:sz w:val="22"/>
        </w:rPr>
        <w:t>20</w:t>
      </w:r>
      <w:r>
        <w:rPr>
          <w:rFonts w:cs="Helvetica" w:hint="eastAsia"/>
          <w:color w:val="333333"/>
          <w:sz w:val="22"/>
        </w:rPr>
        <w:t>个日历日</w:t>
      </w:r>
    </w:p>
    <w:p w:rsidR="00F35CC7" w:rsidRDefault="00F35CC7" w:rsidP="00F35CC7">
      <w:pPr>
        <w:widowControl/>
        <w:shd w:val="clear" w:color="auto" w:fill="F8F8F8"/>
        <w:spacing w:line="360" w:lineRule="auto"/>
        <w:ind w:left="385" w:hangingChars="175" w:hanging="385"/>
        <w:jc w:val="left"/>
        <w:rPr>
          <w:rFonts w:asciiTheme="minorEastAsia" w:hAnsiTheme="minorEastAsia" w:cs="Helvetica"/>
          <w:color w:val="333333"/>
          <w:kern w:val="0"/>
          <w:sz w:val="24"/>
          <w:szCs w:val="24"/>
        </w:rPr>
      </w:pPr>
      <w:r>
        <w:rPr>
          <w:rFonts w:ascii="Helvetica" w:hAnsi="Helvetica" w:cs="Helvetica" w:hint="eastAsia"/>
          <w:color w:val="333333"/>
          <w:sz w:val="22"/>
        </w:rPr>
        <w:t>7</w:t>
      </w:r>
      <w:r>
        <w:rPr>
          <w:rFonts w:cs="Helvetica" w:hint="eastAsia"/>
          <w:color w:val="333333"/>
          <w:sz w:val="22"/>
        </w:rPr>
        <w:t>、此次招标为总价包干，含工程量清单、二次搬运及垃圾清运费、管理费、税金、安全文明措施等全部费用。</w:t>
      </w:r>
    </w:p>
    <w:p w:rsidR="00AA5F97" w:rsidRDefault="00F35CC7">
      <w:pPr>
        <w:widowControl/>
        <w:shd w:val="clear" w:color="auto" w:fill="F8F8F8"/>
        <w:spacing w:line="360" w:lineRule="auto"/>
        <w:jc w:val="left"/>
        <w:rPr>
          <w:rFonts w:asciiTheme="minorEastAsia" w:hAnsiTheme="minorEastAsia" w:cs="Helvetica"/>
          <w:color w:val="333333"/>
          <w:kern w:val="0"/>
          <w:sz w:val="24"/>
          <w:szCs w:val="24"/>
        </w:rPr>
      </w:pPr>
      <w:r>
        <w:rPr>
          <w:rFonts w:asciiTheme="minorEastAsia" w:hAnsiTheme="minorEastAsia" w:cs="Helvetica" w:hint="eastAsia"/>
          <w:color w:val="333333"/>
          <w:kern w:val="0"/>
          <w:sz w:val="24"/>
          <w:szCs w:val="24"/>
        </w:rPr>
        <w:t>8、此次招标以综合评标法评标，最接近全部报价的均价为预中标价。</w:t>
      </w:r>
    </w:p>
    <w:p w:rsidR="00AA5F97" w:rsidRDefault="00F35CC7">
      <w:pPr>
        <w:widowControl/>
        <w:shd w:val="clear" w:color="auto" w:fill="F8F8F8"/>
        <w:spacing w:line="360" w:lineRule="auto"/>
        <w:jc w:val="left"/>
        <w:rPr>
          <w:rFonts w:asciiTheme="minorEastAsia" w:hAnsiTheme="minorEastAsia" w:cs="Helvetica"/>
          <w:color w:val="333333"/>
          <w:kern w:val="0"/>
          <w:sz w:val="24"/>
          <w:szCs w:val="24"/>
        </w:rPr>
      </w:pPr>
      <w:r>
        <w:rPr>
          <w:rFonts w:asciiTheme="minorEastAsia" w:hAnsiTheme="minorEastAsia" w:cs="Helvetica" w:hint="eastAsia"/>
          <w:color w:val="333333"/>
          <w:kern w:val="0"/>
          <w:sz w:val="24"/>
          <w:szCs w:val="24"/>
        </w:rPr>
        <w:t>9、付款方式按照深圳市财政委员会规定的付款方式执行。</w:t>
      </w:r>
    </w:p>
    <w:p w:rsidR="00AA5F97" w:rsidRDefault="00F35CC7">
      <w:pPr>
        <w:widowControl/>
        <w:shd w:val="clear" w:color="auto" w:fill="F8F8F8"/>
        <w:spacing w:line="360" w:lineRule="auto"/>
        <w:jc w:val="left"/>
        <w:rPr>
          <w:rFonts w:ascii="Helvetica" w:eastAsia="宋体" w:hAnsi="Helvetica" w:cs="Helvetica"/>
          <w:color w:val="333333"/>
          <w:kern w:val="0"/>
          <w:szCs w:val="21"/>
        </w:rPr>
      </w:pPr>
      <w:r>
        <w:rPr>
          <w:rFonts w:asciiTheme="minorEastAsia" w:hAnsiTheme="minorEastAsia" w:cs="Helvetica" w:hint="eastAsia"/>
          <w:color w:val="333333"/>
          <w:kern w:val="0"/>
          <w:sz w:val="24"/>
          <w:szCs w:val="24"/>
        </w:rPr>
        <w:t>10、校园施工安全文明要求：双方签订的校园施工安全条例与合同具有同等法律效力</w:t>
      </w:r>
    </w:p>
    <w:p w:rsidR="00AA5F97" w:rsidRDefault="00F35CC7">
      <w:pPr>
        <w:widowControl/>
        <w:shd w:val="clear" w:color="auto" w:fill="F8F8F8"/>
        <w:spacing w:line="360" w:lineRule="auto"/>
        <w:jc w:val="left"/>
        <w:rPr>
          <w:rFonts w:ascii="宋体" w:eastAsia="宋体" w:hAnsi="宋体" w:cs="Helvetica"/>
          <w:b/>
          <w:bCs/>
          <w:kern w:val="0"/>
          <w:sz w:val="30"/>
        </w:rPr>
      </w:pPr>
      <w:r>
        <w:rPr>
          <w:rFonts w:ascii="宋体" w:eastAsia="宋体" w:hAnsi="宋体" w:cs="Helvetica" w:hint="eastAsia"/>
          <w:b/>
          <w:bCs/>
          <w:kern w:val="0"/>
          <w:sz w:val="30"/>
        </w:rPr>
        <w:t>二、维保时间：2018</w:t>
      </w:r>
      <w:bookmarkStart w:id="0" w:name="_GoBack"/>
      <w:bookmarkEnd w:id="0"/>
      <w:r>
        <w:rPr>
          <w:rFonts w:ascii="宋体" w:eastAsia="宋体" w:hAnsi="宋体" w:cs="Helvetica" w:hint="eastAsia"/>
          <w:b/>
          <w:bCs/>
          <w:kern w:val="0"/>
          <w:sz w:val="30"/>
        </w:rPr>
        <w:t>年</w:t>
      </w:r>
      <w:r w:rsidR="006978DB">
        <w:rPr>
          <w:rFonts w:ascii="宋体" w:eastAsia="宋体" w:hAnsi="宋体" w:cs="Helvetica" w:hint="eastAsia"/>
          <w:b/>
          <w:bCs/>
          <w:kern w:val="0"/>
          <w:sz w:val="30"/>
        </w:rPr>
        <w:t>4</w:t>
      </w:r>
      <w:r>
        <w:rPr>
          <w:rFonts w:ascii="宋体" w:eastAsia="宋体" w:hAnsi="宋体" w:cs="Helvetica" w:hint="eastAsia"/>
          <w:b/>
          <w:bCs/>
          <w:kern w:val="0"/>
          <w:sz w:val="30"/>
        </w:rPr>
        <w:t>月1日-2018年12月31日</w:t>
      </w:r>
    </w:p>
    <w:p w:rsidR="00AA5F97" w:rsidRDefault="00F35CC7">
      <w:pPr>
        <w:widowControl/>
        <w:shd w:val="clear" w:color="auto" w:fill="F8F8F8"/>
        <w:spacing w:line="360" w:lineRule="auto"/>
        <w:jc w:val="left"/>
        <w:rPr>
          <w:rFonts w:ascii="Helvetica" w:eastAsia="宋体" w:hAnsi="Helvetica" w:cs="Helvetica"/>
          <w:kern w:val="0"/>
          <w:szCs w:val="21"/>
        </w:rPr>
      </w:pPr>
      <w:r>
        <w:rPr>
          <w:rFonts w:ascii="宋体" w:eastAsia="宋体" w:hAnsi="宋体" w:cs="Helvetica" w:hint="eastAsia"/>
          <w:b/>
          <w:bCs/>
          <w:kern w:val="0"/>
          <w:sz w:val="30"/>
        </w:rPr>
        <w:t>三、维保范围、方式及目的要求：</w:t>
      </w:r>
    </w:p>
    <w:p w:rsidR="00AA5F97" w:rsidRDefault="00F35CC7">
      <w:pPr>
        <w:spacing w:line="360" w:lineRule="auto"/>
        <w:ind w:leftChars="14" w:left="420" w:hangingChars="163" w:hanging="391"/>
        <w:rPr>
          <w:rFonts w:ascii="宋体" w:hAnsi="宋体"/>
          <w:sz w:val="24"/>
          <w:szCs w:val="24"/>
        </w:rPr>
      </w:pPr>
      <w:r>
        <w:rPr>
          <w:rFonts w:ascii="宋体" w:hAnsi="宋体"/>
          <w:sz w:val="24"/>
          <w:szCs w:val="24"/>
        </w:rPr>
        <w:lastRenderedPageBreak/>
        <w:t>1</w:t>
      </w:r>
      <w:r>
        <w:rPr>
          <w:rFonts w:ascii="宋体" w:hAnsi="宋体" w:hint="eastAsia"/>
          <w:sz w:val="24"/>
          <w:szCs w:val="24"/>
        </w:rPr>
        <w:t>、维保范围：校内音响、广播、灯光、LED显示设备及一楼南阶梯教室线路、设备拆掉及重新安装。</w:t>
      </w:r>
    </w:p>
    <w:p w:rsidR="00AA5F97" w:rsidRDefault="00F35CC7">
      <w:pPr>
        <w:spacing w:line="360" w:lineRule="auto"/>
        <w:ind w:left="420"/>
        <w:rPr>
          <w:rFonts w:ascii="宋体" w:hAnsi="宋体"/>
          <w:sz w:val="24"/>
          <w:szCs w:val="24"/>
        </w:rPr>
      </w:pPr>
      <w:r>
        <w:rPr>
          <w:rFonts w:ascii="宋体" w:hAnsi="宋体" w:hint="eastAsia"/>
          <w:sz w:val="24"/>
          <w:szCs w:val="24"/>
        </w:rPr>
        <w:t>维保方式：月检、季检、年检及应急故障维修。</w:t>
      </w:r>
    </w:p>
    <w:p w:rsidR="00AA5F97" w:rsidRDefault="00F35CC7">
      <w:pPr>
        <w:spacing w:line="360" w:lineRule="auto"/>
        <w:ind w:left="420" w:hangingChars="175" w:hanging="420"/>
        <w:rPr>
          <w:rFonts w:ascii="宋体" w:hAnsi="宋体"/>
          <w:sz w:val="24"/>
          <w:szCs w:val="24"/>
        </w:rPr>
      </w:pPr>
      <w:r>
        <w:rPr>
          <w:rFonts w:ascii="宋体" w:hAnsi="宋体"/>
          <w:sz w:val="24"/>
          <w:szCs w:val="24"/>
        </w:rPr>
        <w:t>2</w:t>
      </w:r>
      <w:r>
        <w:rPr>
          <w:rFonts w:ascii="宋体" w:hAnsi="宋体" w:hint="eastAsia"/>
          <w:sz w:val="24"/>
          <w:szCs w:val="24"/>
        </w:rPr>
        <w:t>、目的要求：使已承担维保的广播系统达到国家有关广播标准要求，并确保校内音响、广播、灯光、LED显示设备时刻处于良好的工作状态，保证系统运行状况达到优良状态。</w:t>
      </w:r>
    </w:p>
    <w:p w:rsidR="00AA5F97" w:rsidRDefault="00F35CC7">
      <w:pPr>
        <w:spacing w:line="360" w:lineRule="auto"/>
        <w:ind w:left="420" w:hanging="420"/>
        <w:rPr>
          <w:rFonts w:ascii="宋体" w:eastAsia="宋体" w:hAnsi="宋体" w:cs="Helvetica"/>
          <w:b/>
          <w:bCs/>
          <w:kern w:val="0"/>
          <w:sz w:val="29"/>
        </w:rPr>
      </w:pPr>
      <w:r>
        <w:rPr>
          <w:rFonts w:ascii="宋体" w:hAnsi="宋体" w:hint="eastAsia"/>
          <w:sz w:val="24"/>
          <w:szCs w:val="24"/>
        </w:rPr>
        <w:t>3、维保期结束前维保单位须向甲方提供一年维保情况报告，并提供维修、维护记录台账。</w:t>
      </w:r>
    </w:p>
    <w:p w:rsidR="00AA5F97" w:rsidRDefault="00F35CC7">
      <w:pPr>
        <w:widowControl/>
        <w:shd w:val="clear" w:color="auto" w:fill="F8F8F8"/>
        <w:spacing w:line="360" w:lineRule="auto"/>
        <w:jc w:val="left"/>
        <w:rPr>
          <w:rFonts w:ascii="Helvetica" w:eastAsia="宋体" w:hAnsi="Helvetica" w:cs="Helvetica"/>
          <w:kern w:val="0"/>
          <w:szCs w:val="21"/>
        </w:rPr>
      </w:pPr>
      <w:r>
        <w:rPr>
          <w:rFonts w:ascii="宋体" w:eastAsia="宋体" w:hAnsi="宋体" w:cs="Helvetica" w:hint="eastAsia"/>
          <w:b/>
          <w:bCs/>
          <w:kern w:val="0"/>
          <w:sz w:val="30"/>
        </w:rPr>
        <w:t>四、维修、维护工程要求</w:t>
      </w:r>
    </w:p>
    <w:p w:rsidR="00AA5F97" w:rsidRDefault="00F35CC7">
      <w:pPr>
        <w:spacing w:line="360" w:lineRule="auto"/>
        <w:ind w:left="374" w:hangingChars="156" w:hanging="374"/>
        <w:rPr>
          <w:rFonts w:ascii="宋体" w:hAnsi="宋体"/>
          <w:sz w:val="24"/>
          <w:szCs w:val="24"/>
        </w:rPr>
      </w:pPr>
      <w:r>
        <w:rPr>
          <w:rFonts w:ascii="宋体" w:hAnsi="宋体" w:hint="eastAsia"/>
          <w:sz w:val="24"/>
          <w:szCs w:val="24"/>
        </w:rPr>
        <w:t>1、按照维护清单设备全部进行一次维护，所有功放机开盖除尘，对功放机不能自动散热运转的全部换新，对已损坏的设备全部维修达到正常使用标准。</w:t>
      </w:r>
    </w:p>
    <w:p w:rsidR="00AA5F97" w:rsidRDefault="00F35CC7">
      <w:pPr>
        <w:spacing w:line="360" w:lineRule="auto"/>
        <w:ind w:left="420" w:hangingChars="175" w:hanging="420"/>
        <w:rPr>
          <w:rFonts w:ascii="宋体" w:hAnsi="宋体"/>
          <w:sz w:val="24"/>
          <w:szCs w:val="24"/>
        </w:rPr>
      </w:pPr>
      <w:r>
        <w:rPr>
          <w:rFonts w:ascii="宋体" w:hAnsi="宋体" w:hint="eastAsia"/>
          <w:sz w:val="24"/>
          <w:szCs w:val="24"/>
        </w:rPr>
        <w:t>2、对所有连接网口、水晶接头进行换新。</w:t>
      </w:r>
    </w:p>
    <w:p w:rsidR="00AA5F97" w:rsidRDefault="00F35CC7">
      <w:pPr>
        <w:spacing w:line="360" w:lineRule="auto"/>
        <w:rPr>
          <w:rFonts w:ascii="宋体" w:hAnsi="宋体"/>
          <w:sz w:val="24"/>
          <w:szCs w:val="24"/>
        </w:rPr>
      </w:pPr>
      <w:r>
        <w:rPr>
          <w:rFonts w:ascii="宋体" w:hAnsi="宋体" w:hint="eastAsia"/>
          <w:sz w:val="24"/>
          <w:szCs w:val="24"/>
        </w:rPr>
        <w:t>3、对所有不规范的音频插头、连线进行换新。</w:t>
      </w:r>
    </w:p>
    <w:p w:rsidR="00AA5F97" w:rsidRDefault="00F35CC7">
      <w:pPr>
        <w:spacing w:line="360" w:lineRule="auto"/>
        <w:ind w:left="420" w:hangingChars="175" w:hanging="420"/>
        <w:rPr>
          <w:rFonts w:ascii="宋体" w:hAnsi="宋体"/>
          <w:sz w:val="24"/>
          <w:szCs w:val="24"/>
        </w:rPr>
      </w:pPr>
      <w:r>
        <w:rPr>
          <w:rFonts w:ascii="宋体" w:hAnsi="宋体" w:hint="eastAsia"/>
          <w:sz w:val="24"/>
          <w:szCs w:val="24"/>
        </w:rPr>
        <w:t>4、首次维护过后，每个月定期对所有设备进行一次寻检，并建立维修记录登记表。</w:t>
      </w:r>
    </w:p>
    <w:p w:rsidR="00AA5F97" w:rsidRDefault="00F35CC7">
      <w:pPr>
        <w:spacing w:line="360" w:lineRule="auto"/>
        <w:ind w:left="420" w:hangingChars="175" w:hanging="420"/>
        <w:rPr>
          <w:rFonts w:ascii="宋体" w:hAnsi="宋体"/>
          <w:sz w:val="24"/>
          <w:szCs w:val="24"/>
        </w:rPr>
      </w:pPr>
      <w:r>
        <w:rPr>
          <w:rFonts w:ascii="宋体" w:hAnsi="宋体" w:hint="eastAsia"/>
          <w:sz w:val="24"/>
          <w:szCs w:val="24"/>
        </w:rPr>
        <w:t>5、接到学校故障通知，2个小时赶到学校进行处理，针对不能及时维修好的设备，安排备用机暂时替用。</w:t>
      </w:r>
    </w:p>
    <w:p w:rsidR="00AA5F97" w:rsidRDefault="00F35CC7">
      <w:pPr>
        <w:widowControl/>
        <w:shd w:val="clear" w:color="auto" w:fill="F8F8F8"/>
        <w:spacing w:line="360" w:lineRule="auto"/>
        <w:ind w:left="314" w:hangingChars="131" w:hanging="314"/>
        <w:jc w:val="left"/>
        <w:rPr>
          <w:rFonts w:ascii="宋体" w:hAnsi="宋体"/>
          <w:sz w:val="24"/>
          <w:szCs w:val="24"/>
        </w:rPr>
      </w:pPr>
      <w:r>
        <w:rPr>
          <w:rFonts w:ascii="宋体" w:hAnsi="宋体" w:hint="eastAsia"/>
          <w:sz w:val="24"/>
          <w:szCs w:val="24"/>
        </w:rPr>
        <w:t>6、针对损坏无法维修，需要更换的器材在500元以下（含500元），投标人负责免费更换；500元以上的器材，报使用单位</w:t>
      </w:r>
      <w:r w:rsidR="00290A17">
        <w:rPr>
          <w:rFonts w:ascii="宋体" w:hAnsi="宋体" w:hint="eastAsia"/>
          <w:sz w:val="24"/>
          <w:szCs w:val="24"/>
        </w:rPr>
        <w:t>同意后由使用单位采购，中标单位负责免费安装调试</w:t>
      </w:r>
      <w:r>
        <w:rPr>
          <w:rFonts w:ascii="宋体" w:hAnsi="宋体" w:hint="eastAsia"/>
          <w:sz w:val="24"/>
          <w:szCs w:val="24"/>
        </w:rPr>
        <w:t>。</w:t>
      </w:r>
    </w:p>
    <w:p w:rsidR="00AA5F97" w:rsidRDefault="00F35CC7">
      <w:pPr>
        <w:widowControl/>
        <w:shd w:val="clear" w:color="auto" w:fill="F8F8F8"/>
        <w:spacing w:after="150"/>
        <w:jc w:val="left"/>
        <w:rPr>
          <w:rFonts w:ascii="宋体" w:eastAsia="宋体" w:hAnsi="宋体" w:cs="Helvetica"/>
          <w:b/>
          <w:bCs/>
          <w:kern w:val="0"/>
          <w:sz w:val="30"/>
        </w:rPr>
      </w:pPr>
      <w:r>
        <w:rPr>
          <w:rFonts w:ascii="宋体" w:eastAsia="宋体" w:hAnsi="宋体" w:cs="Helvetica" w:hint="eastAsia"/>
          <w:b/>
          <w:bCs/>
          <w:kern w:val="0"/>
          <w:sz w:val="30"/>
        </w:rPr>
        <w:t>五、维修维护清单：</w:t>
      </w:r>
    </w:p>
    <w:p w:rsidR="00AA5F97" w:rsidRDefault="00AA5F97">
      <w:pPr>
        <w:widowControl/>
        <w:shd w:val="clear" w:color="auto" w:fill="F8F8F8"/>
        <w:jc w:val="left"/>
        <w:rPr>
          <w:rFonts w:ascii="Helvetica" w:eastAsia="宋体" w:hAnsi="Helvetica" w:cs="Helvetica"/>
          <w:vanish/>
          <w:color w:val="333333"/>
          <w:kern w:val="0"/>
          <w:szCs w:val="21"/>
        </w:rPr>
      </w:pPr>
    </w:p>
    <w:tbl>
      <w:tblPr>
        <w:tblW w:w="8804" w:type="dxa"/>
        <w:tblInd w:w="93" w:type="dxa"/>
        <w:tblLayout w:type="fixed"/>
        <w:tblLook w:val="04A0" w:firstRow="1" w:lastRow="0" w:firstColumn="1" w:lastColumn="0" w:noHBand="0" w:noVBand="1"/>
      </w:tblPr>
      <w:tblGrid>
        <w:gridCol w:w="1080"/>
        <w:gridCol w:w="3240"/>
        <w:gridCol w:w="1183"/>
        <w:gridCol w:w="915"/>
        <w:gridCol w:w="2386"/>
      </w:tblGrid>
      <w:tr w:rsidR="00AA5F97">
        <w:trPr>
          <w:trHeight w:val="3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名称</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具体要求</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一、行政楼2楼报告厅</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环绕补声音箱</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超低音箱</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主音箱</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返听音箱</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舞台两边LED</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片</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会议灯</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LED灯</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光束灯</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面光/像灯</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10</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GB432路调音台</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功放XTI1000</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功放XTI2000</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功放XTI4000</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AFS224</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电源时序器</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效果器</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数字音频工作站</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灯控台</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二、广播室</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功放MP4000</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功放MP5000</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功放MP22200</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功放MP12200</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电源时序器</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播放机</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调音台</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分区器</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CD播放器</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音频矩阵</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卡座</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数字调音台</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前置信号放大器</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数字模拟处理器</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解码器</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三、北A广播室</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前置信号放大器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解码器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播放机</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四、一楼北阶梯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主音箱</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超低MSVOND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会议灯</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天花音响</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调音台</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处理器</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数字前级处理器</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五、南A广播</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前置信号放大器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解码器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数字广播接收终端</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六、一楼南阶梯教室</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调音台</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电源时序器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处理器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调音台</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解码器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天花音箱</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音箱</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音箱</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音箱</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线路拆除重装</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线路拆除重装　</w:t>
            </w:r>
          </w:p>
        </w:tc>
      </w:tr>
      <w:tr w:rsidR="00AA5F97">
        <w:trPr>
          <w:trHeight w:val="42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七、中A一楼广播室</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解码器</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八、大门</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AA5F97">
            <w:pPr>
              <w:widowControl/>
              <w:jc w:val="left"/>
              <w:rPr>
                <w:rFonts w:ascii="宋体" w:eastAsia="宋体" w:hAnsi="宋体" w:cs="宋体"/>
                <w:color w:val="000000"/>
                <w:kern w:val="0"/>
                <w:sz w:val="22"/>
              </w:rPr>
            </w:pP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LED</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LED全彩大屏</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九、教学楼对面食堂</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LED</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十、食堂一楼广播</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播放机2013</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合并式功放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解码器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广播功放</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十一、体育馆</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线阵音箱</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中置音箱</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调音台</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处理器</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电源时序器</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反馈抑制处理器</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矩阵处理器</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3240" w:type="dxa"/>
            <w:tcBorders>
              <w:top w:val="single" w:sz="4" w:space="0" w:color="auto"/>
              <w:left w:val="nil"/>
              <w:bottom w:val="single" w:sz="4" w:space="0" w:color="auto"/>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LED全彩</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光束灯</w:t>
            </w:r>
          </w:p>
        </w:tc>
        <w:tc>
          <w:tcPr>
            <w:tcW w:w="1183" w:type="dxa"/>
            <w:tcBorders>
              <w:top w:val="single" w:sz="4" w:space="0" w:color="auto"/>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LED灯</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6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十二、运动场</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调音台</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电源时序器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r>
              <w:rPr>
                <w:rFonts w:ascii="宋体" w:eastAsia="宋体" w:hAnsi="宋体" w:cs="宋体" w:hint="eastAsia"/>
                <w:color w:val="000000"/>
                <w:kern w:val="0"/>
                <w:sz w:val="22"/>
              </w:rPr>
              <w:t xml:space="preserve">　</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处理器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播放机2011</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LED单红</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25*1.5</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电源时序器</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大号角</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小号角</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3240" w:type="dxa"/>
            <w:tcBorders>
              <w:top w:val="single" w:sz="4" w:space="0" w:color="auto"/>
              <w:left w:val="nil"/>
              <w:bottom w:val="nil"/>
              <w:right w:val="single" w:sz="4" w:space="0" w:color="000000"/>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C牌号角</w:t>
            </w:r>
          </w:p>
        </w:tc>
        <w:tc>
          <w:tcPr>
            <w:tcW w:w="1183" w:type="dxa"/>
            <w:tcBorders>
              <w:top w:val="nil"/>
              <w:left w:val="nil"/>
              <w:bottom w:val="single" w:sz="4" w:space="0" w:color="auto"/>
              <w:right w:val="nil"/>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15"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小号角</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kern w:val="0"/>
                <w:sz w:val="22"/>
              </w:rPr>
              <w:t>检测/清洗/除尘/维修</w:t>
            </w:r>
          </w:p>
        </w:tc>
      </w:tr>
      <w:tr w:rsidR="00AA5F97">
        <w:trPr>
          <w:trHeight w:val="270"/>
        </w:trPr>
        <w:tc>
          <w:tcPr>
            <w:tcW w:w="8804" w:type="dxa"/>
            <w:gridSpan w:val="5"/>
            <w:tcBorders>
              <w:top w:val="nil"/>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kern w:val="0"/>
                <w:sz w:val="22"/>
              </w:rPr>
            </w:pPr>
            <w:r>
              <w:rPr>
                <w:rFonts w:ascii="宋体" w:eastAsia="宋体" w:hAnsi="宋体" w:cs="宋体" w:hint="eastAsia"/>
                <w:b/>
                <w:bCs/>
                <w:color w:val="000000"/>
                <w:kern w:val="0"/>
                <w:sz w:val="22"/>
              </w:rPr>
              <w:t>十三、宿舍楼</w:t>
            </w:r>
          </w:p>
        </w:tc>
      </w:tr>
      <w:tr w:rsidR="00AA5F97">
        <w:trPr>
          <w:trHeight w:val="270"/>
        </w:trPr>
        <w:tc>
          <w:tcPr>
            <w:tcW w:w="1080" w:type="dxa"/>
            <w:tcBorders>
              <w:top w:val="nil"/>
              <w:left w:val="single" w:sz="4" w:space="0" w:color="auto"/>
              <w:bottom w:val="single" w:sz="4" w:space="0" w:color="auto"/>
              <w:right w:val="single" w:sz="4" w:space="0" w:color="auto"/>
            </w:tcBorders>
            <w:shd w:val="clear" w:color="auto" w:fill="auto"/>
            <w:vAlign w:val="center"/>
          </w:tcPr>
          <w:p w:rsidR="00AA5F97" w:rsidRDefault="00AA5F97">
            <w:pPr>
              <w:widowControl/>
              <w:jc w:val="center"/>
              <w:rPr>
                <w:rFonts w:ascii="宋体" w:eastAsia="宋体" w:hAnsi="宋体" w:cs="宋体"/>
                <w:color w:val="000000"/>
                <w:kern w:val="0"/>
                <w:sz w:val="22"/>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功放</w:t>
            </w:r>
          </w:p>
        </w:tc>
        <w:tc>
          <w:tcPr>
            <w:tcW w:w="1183"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nil"/>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c>
          <w:tcPr>
            <w:tcW w:w="2386" w:type="dxa"/>
            <w:tcBorders>
              <w:top w:val="nil"/>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kern w:val="0"/>
                <w:sz w:val="22"/>
              </w:rPr>
            </w:pPr>
            <w:r>
              <w:rPr>
                <w:rFonts w:ascii="宋体" w:eastAsia="宋体" w:hAnsi="宋体" w:cs="宋体" w:hint="eastAsia"/>
                <w:kern w:val="0"/>
                <w:sz w:val="22"/>
              </w:rPr>
              <w:t>检测/清洗/除尘/维修</w:t>
            </w:r>
          </w:p>
        </w:tc>
      </w:tr>
      <w:tr w:rsidR="00AA5F97">
        <w:trPr>
          <w:trHeight w:val="27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十四、辅料</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水晶头</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1000</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换新</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网口</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500</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换新</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卡侬头公</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500</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换新</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卡侬头母</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500</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换新</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麦线</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更换</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音箱线</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450</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更换</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节点</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如中标方不能维修好的设备，则免费更换同类型新设备给用户单位使用。</w:t>
            </w:r>
          </w:p>
        </w:tc>
      </w:tr>
      <w:tr w:rsidR="00AA5F97">
        <w:trPr>
          <w:trHeight w:val="27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十五、添加设备</w:t>
            </w:r>
          </w:p>
        </w:tc>
      </w:tr>
      <w:tr w:rsidR="00AA5F9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240"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Theme="minorEastAsia" w:hAnsiTheme="minorEastAsia" w:hint="eastAsia"/>
                <w:szCs w:val="21"/>
              </w:rPr>
              <w:t>智能音乐播放器</w:t>
            </w:r>
          </w:p>
        </w:tc>
        <w:tc>
          <w:tcPr>
            <w:tcW w:w="1183"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15"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386" w:type="dxa"/>
            <w:tcBorders>
              <w:top w:val="single" w:sz="4" w:space="0" w:color="auto"/>
              <w:left w:val="nil"/>
              <w:bottom w:val="single" w:sz="4" w:space="0" w:color="auto"/>
              <w:right w:val="single" w:sz="4" w:space="0" w:color="auto"/>
            </w:tcBorders>
            <w:shd w:val="clear" w:color="auto" w:fill="auto"/>
            <w:vAlign w:val="center"/>
          </w:tcPr>
          <w:p w:rsidR="00AA5F97" w:rsidRDefault="00F35C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详见产品参数</w:t>
            </w:r>
          </w:p>
        </w:tc>
      </w:tr>
      <w:tr w:rsidR="00AA5F97">
        <w:trPr>
          <w:trHeight w:val="27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产品参数：</w:t>
            </w:r>
            <w:r>
              <w:rPr>
                <w:rFonts w:asciiTheme="minorEastAsia" w:hAnsiTheme="minorEastAsia" w:cs="宋体" w:hint="eastAsia"/>
                <w:b/>
                <w:szCs w:val="21"/>
              </w:rPr>
              <w:t>1、与学校原有设备遥控无线麦克风配合使用，实现遥控启动系统电源开关功能，</w:t>
            </w:r>
            <w:r>
              <w:rPr>
                <w:rFonts w:asciiTheme="minorEastAsia" w:hAnsiTheme="minorEastAsia" w:cs="宋体" w:hint="eastAsia"/>
                <w:b/>
                <w:szCs w:val="21"/>
              </w:rPr>
              <w:lastRenderedPageBreak/>
              <w:t>无线麦克风打开时，自动打开系统电源，无线麦克风关闭后，系统电源约5秒后又自动关闭（一个接口）。</w:t>
            </w:r>
          </w:p>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2、、支持消防联动报警功能，警报触发信号启动系统电源并播放指定报警音乐文件，该功能为最优先级。</w:t>
            </w:r>
          </w:p>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3、支持单曲触发播放功能，触发一次播放指定文件夹一首音乐，播放后停止，下次触发时播放下一首音乐。</w:t>
            </w:r>
          </w:p>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4、支持外扩电源时序器，所有工作时输出短路信号，控制外围设备。</w:t>
            </w:r>
          </w:p>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5、支持MIC输入自动检测并启动系统电源。</w:t>
            </w:r>
          </w:p>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6、具有8路分区和功放机电源单键控制和全开全关功能。</w:t>
            </w:r>
          </w:p>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7、面板有9首单曲直选播放功能，对应播放01-09号音乐文件。</w:t>
            </w:r>
          </w:p>
          <w:p w:rsidR="00AA5F97" w:rsidRDefault="00F35CC7">
            <w:pPr>
              <w:spacing w:line="276" w:lineRule="auto"/>
              <w:rPr>
                <w:rFonts w:asciiTheme="minorEastAsia" w:hAnsiTheme="minorEastAsia" w:cs="宋体"/>
                <w:szCs w:val="21"/>
              </w:rPr>
            </w:pPr>
            <w:r>
              <w:rPr>
                <w:rFonts w:asciiTheme="minorEastAsia" w:hAnsiTheme="minorEastAsia" w:cs="宋体" w:hint="eastAsia"/>
                <w:szCs w:val="21"/>
              </w:rPr>
              <w:t>8、无线遥控器可直选遥控播放10首常用歌曲，遥控器具有可调节音量大小、暂停播放、停止播放、上一曲、下一曲等功能。</w:t>
            </w:r>
          </w:p>
          <w:p w:rsidR="00AA5F97" w:rsidRDefault="00F35CC7">
            <w:pPr>
              <w:spacing w:line="276" w:lineRule="auto"/>
              <w:rPr>
                <w:rFonts w:ascii="宋体" w:eastAsia="宋体" w:hAnsi="宋体" w:cs="宋体"/>
                <w:color w:val="000000"/>
                <w:kern w:val="0"/>
                <w:sz w:val="22"/>
              </w:rPr>
            </w:pPr>
            <w:r>
              <w:rPr>
                <w:rFonts w:asciiTheme="minorEastAsia" w:hAnsiTheme="minorEastAsia" w:cs="宋体" w:hint="eastAsia"/>
                <w:szCs w:val="21"/>
              </w:rPr>
              <w:t>9、遥控器除具备电源开关外，还设计有拨码开关，可以更改遥控编码，实现避开干扰码和同一地点安装多台设备非专业人员可以轻松更改编码的目的。</w:t>
            </w:r>
          </w:p>
        </w:tc>
      </w:tr>
    </w:tbl>
    <w:p w:rsidR="00AA5F97" w:rsidRDefault="00F35CC7">
      <w:pPr>
        <w:rPr>
          <w:b/>
          <w:bCs/>
        </w:rPr>
      </w:pPr>
      <w:r>
        <w:rPr>
          <w:rFonts w:hint="eastAsia"/>
          <w:b/>
          <w:bCs/>
        </w:rPr>
        <w:lastRenderedPageBreak/>
        <w:t>附：教室和实验室故障清单明细表</w:t>
      </w:r>
    </w:p>
    <w:tbl>
      <w:tblPr>
        <w:tblW w:w="8848" w:type="dxa"/>
        <w:tblInd w:w="93" w:type="dxa"/>
        <w:tblLayout w:type="fixed"/>
        <w:tblCellMar>
          <w:top w:w="15" w:type="dxa"/>
          <w:left w:w="15" w:type="dxa"/>
          <w:bottom w:w="15" w:type="dxa"/>
          <w:right w:w="15" w:type="dxa"/>
        </w:tblCellMar>
        <w:tblLook w:val="04A0" w:firstRow="1" w:lastRow="0" w:firstColumn="1" w:lastColumn="0" w:noHBand="0" w:noVBand="1"/>
      </w:tblPr>
      <w:tblGrid>
        <w:gridCol w:w="780"/>
        <w:gridCol w:w="1455"/>
        <w:gridCol w:w="1335"/>
        <w:gridCol w:w="3675"/>
        <w:gridCol w:w="1603"/>
      </w:tblGrid>
      <w:tr w:rsidR="00AA5F97">
        <w:trPr>
          <w:trHeight w:val="312"/>
        </w:trPr>
        <w:tc>
          <w:tcPr>
            <w:tcW w:w="88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教室和实验室故障清单明细表</w:t>
            </w: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班级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教室编号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故障问题</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备注</w:t>
            </w:r>
          </w:p>
        </w:tc>
      </w:tr>
      <w:tr w:rsidR="00AA5F97">
        <w:trPr>
          <w:trHeight w:val="312"/>
        </w:trPr>
        <w:tc>
          <w:tcPr>
            <w:tcW w:w="7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一、高一教室</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南A-501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高一（2）班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南A-502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高一（3）班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南A-503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高一（4）班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南A-504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高一（5）班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南A-505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高一（6）班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南A-405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开不了3D，有杂音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高一（7）班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南A-404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高一（8）班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南A-403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高一（9）班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南A-402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高一（10）班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南A-401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高一（11）班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南A-301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无声音，节点无信号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高一（12）班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南A-302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无声音，节点无电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高一（13）班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南A-304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高一（14）班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南A-303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高一（15）班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南A-305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高一（16）班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南A-205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高一（17）班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南A-204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高一（18）班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南A-203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高一（19）班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南A-202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高一（20）班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南A-201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节点无信号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88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二、高二教室</w:t>
            </w: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中A-501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一只有声音，一只无声音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高二（2）班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中A-502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高二（3）班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中A-503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高二（4）班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中A-504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高二（5）班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中A-505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无声音，节点正常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高二（6）班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中A-405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一只有声音，一只无声音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高二（7）班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中A-404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高二（8）班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中A-403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高二（9）班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中A-402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高二（10）班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中A-401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高二（11）班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中A-301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高二（12）班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中A-302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一只有声音，一只无声音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高二（13）班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中A-303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高二（14）班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中A-304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高二（15）班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中A-305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高二（16）班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中A-205</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高二（17）班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中A-204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高二（18）班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中A-203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高二（19）班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中A-202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高二（20）班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中A-201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节点无信号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2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三、高三教室</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南B-301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高三（2）班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南B-303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高三（3）班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南B-304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声音不响</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高三（4）班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南B-306</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高三（5）班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南B-406</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节点坏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高三（6）班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南B-404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高三（7）班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南B-403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高三（8）班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南B-401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高三（9）班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南B-501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高三（10）班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南B-502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高三（11）班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南B-503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高三（12）班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南B-504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高三（13）班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北A-301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高三（14）班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北A-303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声音小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高三（15）班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北A-304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高三（16）班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北A-306</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高三（17）班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北A-206</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节点无信号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高三（18）班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北A-204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19</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高三（19）班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北A-203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高三（20）班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北A-201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有杂音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88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四、实验室</w:t>
            </w: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物理实验室2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中A-104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物理实验室3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中A-102</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节点坏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物理实验室4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中A-101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化学实验室1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北A-406</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节点无信号</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化学实验室2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北A-404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杂音大，一只没有声音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化学实验室3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北A-403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化学实验室4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北A-401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声音小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生物实验室1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北A-501</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生物实验室2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北A-503</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正常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生物实验室3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北A-504</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声音小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r w:rsidR="00AA5F97">
        <w:trPr>
          <w:trHeight w:val="312"/>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生物实验室4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北A-506</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F35C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实验室没电</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F97" w:rsidRDefault="00AA5F97">
            <w:pPr>
              <w:jc w:val="center"/>
              <w:rPr>
                <w:rFonts w:ascii="宋体" w:eastAsia="宋体" w:hAnsi="宋体" w:cs="宋体"/>
                <w:color w:val="000000"/>
                <w:sz w:val="22"/>
              </w:rPr>
            </w:pPr>
          </w:p>
        </w:tc>
      </w:tr>
    </w:tbl>
    <w:p w:rsidR="00AA5F97" w:rsidRDefault="00AA5F97"/>
    <w:p w:rsidR="006978DB" w:rsidRDefault="006978DB" w:rsidP="006978DB">
      <w:pPr>
        <w:pStyle w:val="1"/>
        <w:ind w:left="708" w:hanging="708"/>
      </w:pPr>
      <w:r>
        <w:rPr>
          <w:rFonts w:hint="eastAsia"/>
        </w:rPr>
        <w:t>第</w:t>
      </w:r>
      <w:r>
        <w:rPr>
          <w:rFonts w:hint="eastAsia"/>
        </w:rPr>
        <w:t>二</w:t>
      </w:r>
      <w:r>
        <w:rPr>
          <w:rFonts w:hint="eastAsia"/>
        </w:rPr>
        <w:t>章 投标文件格式</w:t>
      </w:r>
    </w:p>
    <w:p w:rsidR="006978DB" w:rsidRDefault="006978DB" w:rsidP="006978DB">
      <w:pPr>
        <w:rPr>
          <w:rFonts w:ascii="宋体" w:eastAsia="宋体" w:hAnsi="宋体"/>
          <w:b/>
          <w:sz w:val="24"/>
        </w:rPr>
      </w:pPr>
      <w:r>
        <w:rPr>
          <w:rFonts w:ascii="宋体" w:eastAsia="宋体" w:hAnsi="宋体" w:hint="eastAsia"/>
          <w:b/>
          <w:sz w:val="24"/>
        </w:rPr>
        <w:t>附，投标文件目录（包含但不限于以下文件）：</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报价一览表；</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投标人必须提供学校现有监控系统制造商出具的扩容升级证明和授权书（提供相关证明扫描件，原件备查）；</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现场踏勘证明；</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实施本项目的有关人资料表；</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实施方案；</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法人代表授权书；</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投标人资质证明；</w:t>
      </w:r>
    </w:p>
    <w:p w:rsidR="006978DB" w:rsidRDefault="006978DB" w:rsidP="006978DB">
      <w:pPr>
        <w:pStyle w:val="a6"/>
        <w:numPr>
          <w:ilvl w:val="0"/>
          <w:numId w:val="3"/>
        </w:numPr>
        <w:ind w:firstLineChars="0"/>
        <w:rPr>
          <w:rFonts w:ascii="宋体" w:eastAsia="宋体" w:hAnsi="宋体" w:cs="仿宋_GB2312"/>
          <w:kern w:val="0"/>
        </w:rPr>
      </w:pPr>
      <w:r>
        <w:rPr>
          <w:rFonts w:ascii="宋体" w:eastAsia="宋体" w:hAnsi="宋体" w:cs="仿宋_GB2312" w:hint="eastAsia"/>
          <w:kern w:val="0"/>
        </w:rPr>
        <w:t>近三年业绩一览表。</w:t>
      </w:r>
    </w:p>
    <w:p w:rsidR="00AA5F97" w:rsidRDefault="00AA5F97"/>
    <w:sectPr w:rsidR="00AA5F97" w:rsidSect="00AA5F9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DC" w:rsidRDefault="00D917DC" w:rsidP="00AA5F97">
      <w:r>
        <w:separator/>
      </w:r>
    </w:p>
  </w:endnote>
  <w:endnote w:type="continuationSeparator" w:id="0">
    <w:p w:rsidR="00D917DC" w:rsidRDefault="00D917DC" w:rsidP="00AA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C7" w:rsidRDefault="006978DB">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F35CC7" w:rsidRDefault="00D917DC">
                <w:pPr>
                  <w:pStyle w:val="a3"/>
                </w:pPr>
                <w:r>
                  <w:fldChar w:fldCharType="begin"/>
                </w:r>
                <w:r>
                  <w:instrText xml:space="preserve"> PAGE  \* MERGEFORMAT </w:instrText>
                </w:r>
                <w:r>
                  <w:fldChar w:fldCharType="separate"/>
                </w:r>
                <w:r w:rsidR="006978DB">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DC" w:rsidRDefault="00D917DC" w:rsidP="00AA5F97">
      <w:r>
        <w:separator/>
      </w:r>
    </w:p>
  </w:footnote>
  <w:footnote w:type="continuationSeparator" w:id="0">
    <w:p w:rsidR="00D917DC" w:rsidRDefault="00D917DC" w:rsidP="00AA5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15:restartNumberingAfterBreak="0">
    <w:nsid w:val="35AD6BBC"/>
    <w:multiLevelType w:val="multilevel"/>
    <w:tmpl w:val="35AD6BBC"/>
    <w:lvl w:ilvl="0">
      <w:start w:val="1"/>
      <w:numFmt w:val="decimalEnclosedCircle"/>
      <w:lvlText w:val="%1"/>
      <w:lvlJc w:val="left"/>
      <w:pPr>
        <w:tabs>
          <w:tab w:val="left" w:pos="780"/>
        </w:tabs>
        <w:ind w:left="780" w:hanging="360"/>
      </w:pPr>
      <w:rPr>
        <w:rFonts w:ascii="Times New Roman" w:hAnsi="Times New Roman" w:cs="Times New Roman" w:hint="default"/>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2" w15:restartNumberingAfterBreak="0">
    <w:nsid w:val="7DC83C1A"/>
    <w:multiLevelType w:val="multilevel"/>
    <w:tmpl w:val="7DC83C1A"/>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C4B"/>
    <w:rsid w:val="00036583"/>
    <w:rsid w:val="000B71C6"/>
    <w:rsid w:val="000D3560"/>
    <w:rsid w:val="00184C4B"/>
    <w:rsid w:val="00290A17"/>
    <w:rsid w:val="00427DA4"/>
    <w:rsid w:val="00466E37"/>
    <w:rsid w:val="0059409D"/>
    <w:rsid w:val="00625749"/>
    <w:rsid w:val="006978DB"/>
    <w:rsid w:val="009E0630"/>
    <w:rsid w:val="009E6DBF"/>
    <w:rsid w:val="00AA5F97"/>
    <w:rsid w:val="00B470F7"/>
    <w:rsid w:val="00B47CC6"/>
    <w:rsid w:val="00CF73D5"/>
    <w:rsid w:val="00D917DC"/>
    <w:rsid w:val="00E25E39"/>
    <w:rsid w:val="00F35CC7"/>
    <w:rsid w:val="00F739D8"/>
    <w:rsid w:val="085E7850"/>
    <w:rsid w:val="0A814999"/>
    <w:rsid w:val="0B411FD0"/>
    <w:rsid w:val="0CDC7CFA"/>
    <w:rsid w:val="0E321C73"/>
    <w:rsid w:val="2CA51F4A"/>
    <w:rsid w:val="304808BE"/>
    <w:rsid w:val="387D0A54"/>
    <w:rsid w:val="3ED83886"/>
    <w:rsid w:val="3F893282"/>
    <w:rsid w:val="42327A80"/>
    <w:rsid w:val="44446F6F"/>
    <w:rsid w:val="46290945"/>
    <w:rsid w:val="4A6C5C08"/>
    <w:rsid w:val="4B1D7F47"/>
    <w:rsid w:val="56A11BF5"/>
    <w:rsid w:val="5A1832B2"/>
    <w:rsid w:val="5A857340"/>
    <w:rsid w:val="5FB7266A"/>
    <w:rsid w:val="61B61EE9"/>
    <w:rsid w:val="705514D6"/>
    <w:rsid w:val="719D41BC"/>
    <w:rsid w:val="7B741DEA"/>
    <w:rsid w:val="7D8E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7BD0B812-861D-4903-B270-F9426EA6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97"/>
    <w:pPr>
      <w:widowControl w:val="0"/>
      <w:jc w:val="both"/>
    </w:pPr>
    <w:rPr>
      <w:rFonts w:asciiTheme="minorHAnsi" w:eastAsiaTheme="minorEastAsia" w:hAnsiTheme="minorHAnsi" w:cstheme="minorBidi"/>
      <w:kern w:val="2"/>
      <w:sz w:val="21"/>
      <w:szCs w:val="22"/>
    </w:rPr>
  </w:style>
  <w:style w:type="paragraph" w:styleId="1">
    <w:name w:val="heading 1"/>
    <w:basedOn w:val="3"/>
    <w:next w:val="a"/>
    <w:link w:val="1Char"/>
    <w:qFormat/>
    <w:rsid w:val="006978DB"/>
    <w:pPr>
      <w:spacing w:before="340" w:after="330" w:line="360" w:lineRule="auto"/>
      <w:ind w:left="706" w:hangingChars="196" w:hanging="706"/>
      <w:jc w:val="center"/>
      <w:outlineLvl w:val="0"/>
    </w:pPr>
    <w:rPr>
      <w:rFonts w:ascii="宋体" w:eastAsia="宋体" w:hAnsi="宋体" w:cs="Times New Roman"/>
      <w:bCs w:val="0"/>
      <w:kern w:val="44"/>
      <w:sz w:val="36"/>
      <w:szCs w:val="36"/>
    </w:rPr>
  </w:style>
  <w:style w:type="paragraph" w:styleId="3">
    <w:name w:val="heading 3"/>
    <w:basedOn w:val="a"/>
    <w:next w:val="a"/>
    <w:link w:val="3Char"/>
    <w:uiPriority w:val="9"/>
    <w:semiHidden/>
    <w:unhideWhenUsed/>
    <w:qFormat/>
    <w:rsid w:val="006978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AA5F97"/>
    <w:pPr>
      <w:tabs>
        <w:tab w:val="center" w:pos="4153"/>
        <w:tab w:val="right" w:pos="8306"/>
      </w:tabs>
      <w:snapToGrid w:val="0"/>
      <w:jc w:val="left"/>
    </w:pPr>
    <w:rPr>
      <w:sz w:val="18"/>
    </w:rPr>
  </w:style>
  <w:style w:type="paragraph" w:styleId="a4">
    <w:name w:val="header"/>
    <w:basedOn w:val="a"/>
    <w:uiPriority w:val="99"/>
    <w:unhideWhenUsed/>
    <w:qFormat/>
    <w:rsid w:val="00AA5F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unhideWhenUsed/>
    <w:qFormat/>
    <w:rsid w:val="00AA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AA5F97"/>
    <w:pPr>
      <w:ind w:firstLineChars="200" w:firstLine="420"/>
    </w:pPr>
  </w:style>
  <w:style w:type="paragraph" w:customStyle="1" w:styleId="a7">
    <w:name w:val="正文格式"/>
    <w:basedOn w:val="a"/>
    <w:qFormat/>
    <w:rsid w:val="00AA5F97"/>
    <w:pPr>
      <w:ind w:firstLineChars="200" w:firstLine="420"/>
    </w:pPr>
    <w:rPr>
      <w:rFonts w:ascii="Times New Roman" w:eastAsia="宋体" w:hAnsi="Times New Roman" w:cs="Times New Roman"/>
      <w:szCs w:val="21"/>
    </w:rPr>
  </w:style>
  <w:style w:type="character" w:customStyle="1" w:styleId="1Char">
    <w:name w:val="标题 1 Char"/>
    <w:basedOn w:val="a0"/>
    <w:link w:val="1"/>
    <w:rsid w:val="006978DB"/>
    <w:rPr>
      <w:rFonts w:ascii="宋体" w:hAnsi="宋体"/>
      <w:b/>
      <w:kern w:val="44"/>
      <w:sz w:val="36"/>
      <w:szCs w:val="36"/>
    </w:rPr>
  </w:style>
  <w:style w:type="character" w:customStyle="1" w:styleId="3Char">
    <w:name w:val="标题 3 Char"/>
    <w:basedOn w:val="a0"/>
    <w:link w:val="3"/>
    <w:uiPriority w:val="9"/>
    <w:semiHidden/>
    <w:rsid w:val="006978DB"/>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992</Words>
  <Characters>5657</Characters>
  <Application>Microsoft Office Word</Application>
  <DocSecurity>0</DocSecurity>
  <Lines>47</Lines>
  <Paragraphs>13</Paragraphs>
  <ScaleCrop>false</ScaleCrop>
  <Company>Sky123.Org</Company>
  <LinksUpToDate>false</LinksUpToDate>
  <CharactersWithSpaces>6636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2018-01-04T01:27:00Z</dcterms:created>
  <dc:creator>Sky123.Org</dc:creator>
  <lastModifiedBy>何建军</lastModifiedBy>
  <lastPrinted>2018-01-04T01:27:00Z</lastPrinted>
  <dcterms:modified xsi:type="dcterms:W3CDTF">2018-03-22T00:58:00Z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