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240" w:lineRule="auto"/>
        <w:jc w:val="center"/>
        <w:textAlignment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深圳市第二高级中学（深圳市中小学艺术教育基地）</w:t>
      </w:r>
    </w:p>
    <w:p>
      <w:pPr>
        <w:widowControl/>
        <w:spacing w:before="120" w:line="240" w:lineRule="auto"/>
        <w:jc w:val="center"/>
        <w:textAlignment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2018年</w:t>
      </w:r>
      <w:r>
        <w:rPr>
          <w:rFonts w:hint="eastAsia"/>
          <w:b/>
          <w:sz w:val="32"/>
          <w:szCs w:val="32"/>
        </w:rPr>
        <w:t>艺术教育基地装修工程</w:t>
      </w:r>
    </w:p>
    <w:p>
      <w:pPr>
        <w:widowControl/>
        <w:spacing w:before="120"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eastAsia="zh-CN"/>
        </w:rPr>
        <w:t>件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一、项目简介：</w:t>
      </w:r>
    </w:p>
    <w:p>
      <w:pPr>
        <w:ind w:firstLine="560" w:firstLineChars="200"/>
        <w:rPr>
          <w:b/>
          <w:bCs/>
          <w:sz w:val="30"/>
          <w:szCs w:val="30"/>
        </w:rPr>
      </w:pPr>
      <w:r>
        <w:rPr>
          <w:rFonts w:hint="eastAsia"/>
          <w:snapToGrid w:val="0"/>
          <w:kern w:val="0"/>
          <w:sz w:val="28"/>
          <w:szCs w:val="28"/>
        </w:rPr>
        <w:t>该项目位于南山区茶光路，深圳市第二高级中学校区东南角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深圳市中小学艺术教育基地</w:t>
      </w:r>
      <w:r>
        <w:rPr>
          <w:rFonts w:hint="eastAsia"/>
          <w:snapToGrid w:val="0"/>
          <w:kern w:val="0"/>
          <w:sz w:val="28"/>
          <w:szCs w:val="28"/>
        </w:rPr>
        <w:t>。通过该项目的实施，完善、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改造</w:t>
      </w:r>
      <w:r>
        <w:rPr>
          <w:rFonts w:hint="eastAsia"/>
          <w:snapToGrid w:val="0"/>
          <w:kern w:val="0"/>
          <w:sz w:val="28"/>
          <w:szCs w:val="28"/>
        </w:rPr>
        <w:t>艺术教育基地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贵宾接待室、会议室、办公室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等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pStyle w:val="11"/>
        <w:numPr>
          <w:ilvl w:val="0"/>
          <w:numId w:val="2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投标人须知</w:t>
      </w:r>
    </w:p>
    <w:p>
      <w:pPr>
        <w:numPr>
          <w:ilvl w:val="0"/>
          <w:numId w:val="0"/>
        </w:numPr>
        <w:spacing w:line="22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投标人必须为合法的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商，持有国内市场监督管理局签发的有效营业执照。</w:t>
      </w:r>
    </w:p>
    <w:p>
      <w:pPr>
        <w:numPr>
          <w:ilvl w:val="0"/>
          <w:numId w:val="0"/>
        </w:numPr>
        <w:spacing w:line="220" w:lineRule="atLeas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2、具备建筑装修装饰工程专业承包贰级（含）及以上资质。</w:t>
      </w:r>
    </w:p>
    <w:p>
      <w:pPr>
        <w:widowControl/>
        <w:shd w:val="clear" w:color="auto" w:fill="F8F8F8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预算控制金额为人民币叁拾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玖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万元（￥3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b/>
          <w:sz w:val="28"/>
          <w:szCs w:val="28"/>
        </w:rPr>
        <w:t>,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000.00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严格按照合同的要求履行合同，任何中标单位都不得就合同标的时间、技术规格以及其他的合同条款进行变更，如果擅自更改，必须承担造成的损失。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中标单位在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过程中应注意文明，保持现场及周围环境的清洁，损坏现场物品或原有建筑，应当原价赔偿。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此次招标以综合评标法评标，报价最接近均价为预中标供应商，公示三天后，如无异议，则确定为中标供应商。</w:t>
      </w:r>
    </w:p>
    <w:p>
      <w:pPr>
        <w:widowControl/>
        <w:shd w:val="clear" w:color="auto" w:fill="F8F8F8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此次招标为总价包干，含工程量清单、二次搬运及垃圾清运费、管理费、税金、安全文明措施等全部费用。结算时按送审计价格结算，如送审计价高于中标价则按中标价结算，审计价低于中标价则按审计价结算。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付款方式：按照市财政委员会规定的付款方式执行。</w:t>
      </w:r>
    </w:p>
    <w:p>
      <w:pPr>
        <w:widowControl/>
        <w:shd w:val="clear" w:color="auto" w:fill="F8F8F8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、中标单位必须自中标通知书发放之日起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个日历日内与甲方签订合同，逾期不签则视为自动放弃中标。签订合同后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个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日历日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内完成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工</w:t>
      </w:r>
      <w:r>
        <w:rPr>
          <w:rFonts w:hint="eastAsia"/>
          <w:sz w:val="28"/>
          <w:szCs w:val="28"/>
          <w:lang w:val="en-US" w:eastAsia="zh-CN"/>
        </w:rPr>
        <w:t>程，逾期按每日500元处罚乙方。逾期</w:t>
      </w:r>
      <w:r>
        <w:rPr>
          <w:rFonts w:hint="eastAsia" w:ascii="宋体" w:hAnsi="宋体"/>
          <w:color w:val="333333"/>
          <w:kern w:val="0"/>
          <w:sz w:val="28"/>
          <w:szCs w:val="28"/>
        </w:rPr>
        <w:t>累计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color w:val="333333"/>
          <w:kern w:val="0"/>
          <w:sz w:val="28"/>
          <w:szCs w:val="28"/>
        </w:rPr>
        <w:t>个日历日，甲方将取消合同。（投标文件需响应本条款）。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保修期</w:t>
      </w:r>
    </w:p>
    <w:p>
      <w:pPr>
        <w:ind w:left="420" w:leftChars="200" w:firstLine="5" w:firstLineChars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1、质保金</w:t>
      </w:r>
      <w:r>
        <w:rPr>
          <w:rFonts w:hint="eastAsia"/>
          <w:sz w:val="24"/>
        </w:rPr>
        <w:t>：</w:t>
      </w:r>
      <w:r>
        <w:rPr>
          <w:rFonts w:hint="eastAsia"/>
          <w:sz w:val="28"/>
          <w:szCs w:val="28"/>
        </w:rPr>
        <w:t>按合同价5%收取质保金，一年质保期后若无质量问题无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息退还质保金。</w:t>
      </w:r>
    </w:p>
    <w:p>
      <w:pPr>
        <w:numPr>
          <w:ilvl w:val="0"/>
          <w:numId w:val="3"/>
        </w:numPr>
        <w:ind w:left="420" w:leftChars="20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sz w:val="28"/>
          <w:szCs w:val="28"/>
        </w:rPr>
        <w:t>保修期为</w:t>
      </w:r>
      <w:r>
        <w:rPr>
          <w:rFonts w:hint="eastAsia"/>
          <w:sz w:val="28"/>
          <w:szCs w:val="28"/>
        </w:rPr>
        <w:t>验收合格</w:t>
      </w:r>
      <w:r>
        <w:rPr>
          <w:sz w:val="28"/>
          <w:szCs w:val="28"/>
        </w:rPr>
        <w:t>之日起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sz w:val="28"/>
          <w:szCs w:val="28"/>
        </w:rPr>
        <w:t>年。</w:t>
      </w:r>
    </w:p>
    <w:p>
      <w:pPr>
        <w:numPr>
          <w:numId w:val="0"/>
        </w:num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b/>
          <w:sz w:val="28"/>
          <w:szCs w:val="28"/>
        </w:rPr>
        <w:t>艺术教育基地装修工程</w:t>
      </w:r>
      <w:r>
        <w:rPr>
          <w:rFonts w:hint="eastAsia"/>
          <w:b/>
          <w:bCs/>
          <w:sz w:val="28"/>
          <w:szCs w:val="28"/>
        </w:rPr>
        <w:t>清单</w:t>
      </w:r>
    </w:p>
    <w:tbl>
      <w:tblPr>
        <w:tblStyle w:val="8"/>
        <w:tblpPr w:leftFromText="180" w:rightFromText="180" w:vertAnchor="text" w:horzAnchor="page" w:tblpX="802" w:tblpY="1804"/>
        <w:tblOverlap w:val="never"/>
        <w:tblW w:w="11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1450"/>
        <w:gridCol w:w="1874"/>
        <w:gridCol w:w="1917"/>
        <w:gridCol w:w="696"/>
        <w:gridCol w:w="835"/>
        <w:gridCol w:w="1087"/>
        <w:gridCol w:w="683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装饰部分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拆除工程、其它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011616B003001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墙面乳胶漆铲除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1.二三层部分办公室墙面乳胶漆铲除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011203001001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遗漏零星修缮工程项目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1.人工、材料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三层办公室1、2门窗拆除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1.人工、材料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三层办公室1、2走道墙修复复原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1.人工、材料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000102004001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环境空气检测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1.专业公司检测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011210005001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公共卫生间入口弹簧抗倍特挡板（男卫）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1.成品订制，尺寸规格550mm*1200*mm*2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接待室卫生间排气扇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1.300*300排气扇，配套排风管20米，人工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垃圾清运堆放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1.人工清运堆放至物业指定位置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010103002002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1.垃圾装车清运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040205009001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地面清洁费用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1.施工完成人工清洁场地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一层接待室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仿大理石瓷砖（含踏步）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1.仿大理石瓷砖（CT-02 800*800mm）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2.1:2.5水泥砂浆结合层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011105B001001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波打线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1.波打线（CT-04 80、150mm）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011108001001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门槛石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1.门槛石（ST-03 200mm）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双层石膏板吊顶（平顶）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1.双层9.5mm石膏板轻钢龙骨吊顶、烤漆铝嵌条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双层石膏板吊顶（造型）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1.双层9.5mm石膏板轻钢龙骨吊顶面层、18mm阻燃夹板基层，局部单层石膏板，含天花造型灯槽、方形造型框等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010810002001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窗帘盒（直型）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1.双层9.5mm石膏板面层、18mm阻燃夹板打底，轻钢龙骨基层。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2.280*200mm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天棚乳胶漆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1.天棚刮腻子二遍打磨，刷白色乳胶漆三遍（PT-01）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011408001001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墙纸裱糊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1.高档墙纸（WP-01）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011204001001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仿大理石瓷砖（干挂）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1.仿大理石瓷砖（CT-02 600*1200mm）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2.镀锌扁通、L50*50*4镀锌角铁打底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木饰面墙面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1.20mm 1：3水泥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砂浆找平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2.双层木龙骨打底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（防火防霉防水）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3.12mm阻燃夹板基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4.木饰面面层（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WD-01）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5.包括图纸设计要求所需其余配套材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砂钢踢脚线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1.50mm灰色铝质成品烤漆踢脚线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2.1.2MM厚304#拉丝不锈钢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011109B002001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实木栏杆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1.实木栏杆（WD-01 900mm）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成品木门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1.成品木门（WD-01 900*2250mm）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二层办公间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1.墙面刮腻子二遍打磨，刷白色乳胶漆三遍（PT-01）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103.43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010809004001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窗台石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1.20mm厚窗台石（ST-01）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011210006001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新做轻钢龙骨隔墙（封堵水管）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1.100厚轻钢龙骨双面单层12mm石膏板隔墙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2.包括12mm石膏板、75#轻钢龙骨等图纸设计要求所需材料及配件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铝板吊顶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1.600*600轻钢龙骨冲孔铝板吊顶（1.0mm）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二层会议室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011101005001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自流平地面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1.提供自流平地面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011103003001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仿木纹地胶板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1.仿木纹地胶板（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PV-01）2.包括图纸设计要求所需其余配套材料及配件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011108001002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门槛石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1.门槛石（ST-03 200mm）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011210006002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新做轻钢龙骨隔墙（封堵水管）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1.100厚轻钢龙骨双面单层12mm石膏板隔墙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2.包括12mm石膏板、75#轻钢龙骨等图纸设计要求所需材料及配件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011408001002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墙纸裱糊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1.高档墙纸（WP-01）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扪布墙面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1.木龙骨打底，18mm阻燃夹板基层，1mm厚铁板面贴扪布饰面（WP-02）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2.5mm不锈钢收口条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双层石膏板吊顶（平顶）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1.双层9.5mm石膏板轻钢龙骨吊顶、20mm宽不锈钢条走边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天棚乳胶漆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1.天棚刮腻子二遍打磨，刷白色乳胶漆三遍（PT-01）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仿木纹铝方通吊顶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1.仿木纹铝方通间隔60mm（60mm*100mm）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011407002001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原顶喷灰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1.原顶喷灰色乳胶漆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010810002002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窗帘盒（直型）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1.双层9.5mm石膏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板面层、18mm阻燃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夹板打底，轻钢龙骨基层。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2.280*200mm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求所需其余配套材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砂钢踢脚线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1.50mm灰色铝质成品烤漆踢脚线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2.1.2MM厚304#拉丝不锈钢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010809004002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窗台石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1.20mm厚窗台石（ST-01）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011408001003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墙纸裱糊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1.高档墙纸（WP-01）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三层办公室1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1.墙面刮腻子二遍打磨，刷白色乳胶漆三遍（PT-01）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 1：3水泥砂浆找平、瓷砖踢脚线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铝板吊顶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1.600*600轻钢龙骨冲孔铝板吊顶（1.0mm）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新做玻璃推拉窗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1.新做90系铝合金玻璃推拉窗（型材厚度1.4MM）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010809004003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窗台石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1.20mm厚窗台石（ST-01）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成品木门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1.成品木门（WD-01 900*2400mm）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2.包括图纸设计要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求所需其余配套材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三层办公室2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011210003001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1.50*50*5镀锌角钢骨架，横向间距600MM固定在梁下面封12厘夹板，面饰9MM厚石膏板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2.1.2MM厚304#拉丝不锈钢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12mm厚钢化玻璃门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1.地弹簧玻璃门（ 900*3000mm）、金属拉手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011210006003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新做轻钢龙骨隔墙（封堵水管）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1.100厚轻钢龙骨双面单层12mm石膏板隔墙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2.包括12mm石膏板、75#轻钢龙骨等图纸设计要求所需材料及配件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1.墙面刮腻子二遍打磨，刷白色乳胶漆三遍（PT-01）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011105003002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 1：3水泥砂浆找平、瓷砖踢脚线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铝板吊顶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1.600*600轻钢龙骨冲孔铝板吊顶（1.0mm）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010807001002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新做玻璃推拉窗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1.新做90系铝合金玻璃推拉窗（型材厚度1.4MM）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010809004004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窗台石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1.20mm厚窗台石（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2.包括图纸设计要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求所需其余配套材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成品木门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1.成品木门（WD-01 900*2400mm）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三层办公室3、接待室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011210006004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新做轻钢龙骨隔墙（封堵水管）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1.100厚轻钢龙骨双面单层12mm石膏板隔墙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2.包括12mm石膏板、75#轻钢龙骨等图纸设计要求所需材料及配件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1.墙面刮腻子二遍打磨，刷白色乳胶漆三遍（PT-01）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铝板吊顶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1.600*600轻钢龙骨冲孔铝板吊顶（1.0mm）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010809004005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窗台石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1.20mm厚窗台石（ST-01）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011210003002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1.50*50*5镀锌角钢骨架，横向间距600MM固定在梁下面封12厘夹板，面饰9MM厚石膏板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2.1.2MM厚304#拉丝不锈钢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12mm厚钢化玻璃门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1.地弹簧玻璃门（ 900*3000mm）、金属拉手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三层培训室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条形吸音板墙面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1.轻钢龙骨打底，50mm厚32K环保吸音棉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砂钢踢脚线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1.50mm灰色铝质成品烤漆踢脚线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2.1.2MM厚304#拉丝不锈钢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010809004006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窗台石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1.20mm厚窗台石（ST-01）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机电部分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1.配电箱1AL1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1.配电箱1AL3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1.600*600灯盘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1.固定式筒灯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1.嵌入式可调角射灯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1.条形灯带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1.带保护接点暗装插座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030404035002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1.地面插座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030404034001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1.一位暗装开关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030404034002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1.二位暗装开关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030404034003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1.三位暗装开关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1.电缆穿管敷设ZR-YJV-5x16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126.26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1.管内穿线ZRBV2.5mm2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1706.10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1.管内穿线ZRBV4.0mm2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1771.38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1.JDG20镀锌钢管明敷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515.35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1.JDG25镀锌钢管明敷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406.46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1.PC40难燃硬质塑料管明敷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1.JDG20镀锌钢管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暗敷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2.包括图纸设计要求所需其余配套材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1.JDG25镀锌钢管暗敷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1.PC40难燃硬质塑料管暗敷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030411001006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1.灯具引下接线镀锌软管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030413002001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凿槽恢复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1.暗敷管线凿槽恢复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534.20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030411006001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1.镀锌接线盒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空调部分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030108006001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新风机组吊装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1.新风机组吊装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030701004001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1.风机盘管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030702001001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0.75mm镀锌钢板风管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1.0.75mm镀锌钢板风管制作安装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030702001002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20mm厚橡塑降噪隔音棉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1.20mm厚降噪隔音棉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030702001003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降噪隔音棉胶水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1.隔音棉胶水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030603002001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手动对开多叶调节阀200*150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1.手动对开多叶调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节阀200*150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2.包括图纸设计要求所需其余配套材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030703007001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方形散流器300*300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1.方形散流器300*300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030703007002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圆形回风百叶Φ500（带网）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1.圆形回风百叶Φ500（带网）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2.包括图纸设计要求所需其余配套材料及配件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b/>
          <w:bCs/>
          <w:sz w:val="28"/>
          <w:szCs w:val="28"/>
        </w:rPr>
      </w:pPr>
    </w:p>
    <w:p>
      <w:pPr>
        <w:pStyle w:val="2"/>
        <w:numPr>
          <w:numId w:val="0"/>
        </w:numPr>
        <w:spacing w:before="100" w:after="156" w:line="240" w:lineRule="auto"/>
        <w:ind w:leftChars="0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五、</w:t>
      </w:r>
      <w:bookmarkStart w:id="0" w:name="_GoBack"/>
      <w:bookmarkEnd w:id="0"/>
      <w:r>
        <w:rPr>
          <w:rFonts w:hint="eastAsia" w:ascii="宋体" w:hAnsi="宋体" w:cs="宋体"/>
          <w:kern w:val="2"/>
          <w:sz w:val="28"/>
          <w:szCs w:val="28"/>
        </w:rPr>
        <w:t>投标文件格式</w:t>
      </w:r>
      <w:r>
        <w:rPr>
          <w:rFonts w:hint="eastAsia" w:ascii="宋体" w:hAnsi="宋体"/>
          <w:color w:val="333333"/>
          <w:kern w:val="0"/>
          <w:sz w:val="28"/>
          <w:szCs w:val="28"/>
        </w:rPr>
        <w:t>（提供复印件并加盖公章)</w:t>
      </w:r>
    </w:p>
    <w:p>
      <w:pPr>
        <w:pStyle w:val="2"/>
        <w:numPr>
          <w:ilvl w:val="0"/>
          <w:numId w:val="0"/>
        </w:numPr>
        <w:spacing w:before="100" w:after="156" w:line="240" w:lineRule="auto"/>
        <w:ind w:leftChars="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投标文件目录（包含但不限于以下文件）：</w:t>
      </w:r>
    </w:p>
    <w:p>
      <w:pPr>
        <w:widowControl/>
        <w:numPr>
          <w:ilvl w:val="0"/>
          <w:numId w:val="0"/>
        </w:numPr>
        <w:shd w:val="clear" w:color="auto" w:fill="F8F8F8"/>
        <w:spacing w:line="360" w:lineRule="auto"/>
        <w:ind w:leftChars="0"/>
        <w:jc w:val="left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color w:val="333333"/>
          <w:kern w:val="0"/>
          <w:sz w:val="28"/>
          <w:szCs w:val="28"/>
        </w:rPr>
        <w:t>投标一览表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8F8F8"/>
        <w:spacing w:line="360" w:lineRule="auto"/>
        <w:ind w:leftChars="0"/>
        <w:jc w:val="left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333333"/>
          <w:kern w:val="0"/>
          <w:sz w:val="28"/>
          <w:szCs w:val="28"/>
        </w:rPr>
        <w:t>报价表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8F8F8"/>
        <w:spacing w:line="360" w:lineRule="auto"/>
        <w:ind w:leftChars="0"/>
        <w:jc w:val="left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333333"/>
          <w:kern w:val="0"/>
          <w:sz w:val="28"/>
          <w:szCs w:val="28"/>
        </w:rPr>
        <w:t>法人代表授权书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8F8F8"/>
        <w:spacing w:line="360" w:lineRule="auto"/>
        <w:ind w:leftChars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color w:val="333333"/>
          <w:kern w:val="0"/>
          <w:sz w:val="28"/>
          <w:szCs w:val="28"/>
        </w:rPr>
        <w:t>营业执照及相关资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质证书。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六、工程设计图（附件）</w:t>
      </w:r>
    </w:p>
    <w:sectPr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F27E8"/>
    <w:multiLevelType w:val="singleLevel"/>
    <w:tmpl w:val="A88F27E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FE7227A"/>
    <w:multiLevelType w:val="multilevel"/>
    <w:tmpl w:val="1FE7227A"/>
    <w:lvl w:ilvl="0" w:tentative="0">
      <w:start w:val="2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D630A"/>
    <w:multiLevelType w:val="multilevel"/>
    <w:tmpl w:val="34CD630A"/>
    <w:lvl w:ilvl="0" w:tentative="0">
      <w:start w:val="1"/>
      <w:numFmt w:val="decimal"/>
      <w:pStyle w:val="2"/>
      <w:lvlText w:val="%1、"/>
      <w:lvlJc w:val="left"/>
      <w:pPr>
        <w:tabs>
          <w:tab w:val="left" w:pos="1290"/>
        </w:tabs>
        <w:ind w:left="129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5A"/>
    <w:rsid w:val="000409FB"/>
    <w:rsid w:val="000B598C"/>
    <w:rsid w:val="000F4F2F"/>
    <w:rsid w:val="0029435F"/>
    <w:rsid w:val="002A2D45"/>
    <w:rsid w:val="002C0BB3"/>
    <w:rsid w:val="00340AEB"/>
    <w:rsid w:val="00367E5A"/>
    <w:rsid w:val="003C24EB"/>
    <w:rsid w:val="003C75FE"/>
    <w:rsid w:val="0047683C"/>
    <w:rsid w:val="00486662"/>
    <w:rsid w:val="004E405C"/>
    <w:rsid w:val="00507877"/>
    <w:rsid w:val="00543DE4"/>
    <w:rsid w:val="005D3889"/>
    <w:rsid w:val="006605C8"/>
    <w:rsid w:val="006A5520"/>
    <w:rsid w:val="006D42CA"/>
    <w:rsid w:val="006F6134"/>
    <w:rsid w:val="007B64AA"/>
    <w:rsid w:val="007B6C92"/>
    <w:rsid w:val="0093434B"/>
    <w:rsid w:val="00934745"/>
    <w:rsid w:val="00940245"/>
    <w:rsid w:val="009F672C"/>
    <w:rsid w:val="00A020AB"/>
    <w:rsid w:val="00A1401E"/>
    <w:rsid w:val="00AF04F6"/>
    <w:rsid w:val="00AF1ACB"/>
    <w:rsid w:val="00B44934"/>
    <w:rsid w:val="00B66D1B"/>
    <w:rsid w:val="00B7058E"/>
    <w:rsid w:val="00B90498"/>
    <w:rsid w:val="00C06B96"/>
    <w:rsid w:val="00C86ADF"/>
    <w:rsid w:val="00D65A79"/>
    <w:rsid w:val="00D95F9E"/>
    <w:rsid w:val="00DB1BCD"/>
    <w:rsid w:val="00E055C9"/>
    <w:rsid w:val="00E11607"/>
    <w:rsid w:val="00E11EFE"/>
    <w:rsid w:val="00E42BF6"/>
    <w:rsid w:val="00F90478"/>
    <w:rsid w:val="00FD2178"/>
    <w:rsid w:val="08406CAB"/>
    <w:rsid w:val="1BE279ED"/>
    <w:rsid w:val="23C47090"/>
    <w:rsid w:val="25D34CD3"/>
    <w:rsid w:val="33DF5C89"/>
    <w:rsid w:val="3B2E0234"/>
    <w:rsid w:val="45897E19"/>
    <w:rsid w:val="4A98737D"/>
    <w:rsid w:val="591A41FE"/>
    <w:rsid w:val="5C0C7848"/>
    <w:rsid w:val="619F7AAB"/>
    <w:rsid w:val="69382463"/>
    <w:rsid w:val="69944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adjustRightInd w:val="0"/>
      <w:spacing w:before="340" w:after="330" w:line="578" w:lineRule="auto"/>
      <w:textAlignment w:val="baseline"/>
      <w:outlineLvl w:val="0"/>
    </w:pPr>
    <w:rPr>
      <w:bCs w:val="0"/>
      <w:kern w:val="44"/>
      <w:sz w:val="44"/>
      <w:szCs w:val="2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/>
      <w:sz w:val="22"/>
      <w:szCs w:val="22"/>
      <w:lang w:val="en-US" w:eastAsia="en-US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Normal_1"/>
    <w:qFormat/>
    <w:uiPriority w:val="0"/>
    <w:pPr>
      <w:spacing w:before="120" w:after="240"/>
      <w:jc w:val="both"/>
    </w:pPr>
    <w:rPr>
      <w:rFonts w:ascii="Calibri" w:hAnsi="Calibri" w:eastAsia="Calibri"/>
      <w:sz w:val="22"/>
      <w:szCs w:val="22"/>
      <w:lang w:val="en-US" w:eastAsia="en-US" w:bidi="ar-SA"/>
    </w:rPr>
  </w:style>
  <w:style w:type="character" w:customStyle="1" w:styleId="13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4">
    <w:name w:val="批注框文本 Char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页脚 Char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0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4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0">
    <w:name w:val="font1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页眉 Char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183</Words>
  <Characters>1044</Characters>
  <Lines>8</Lines>
  <Paragraphs>2</Paragraphs>
  <TotalTime>2</TotalTime>
  <ScaleCrop>false</ScaleCrop>
  <LinksUpToDate>false</LinksUpToDate>
  <CharactersWithSpaces>1225</CharactersWithSpaces>
  <Application>WPS Office_10.1.0.7440_F1E327BC-269C-435d-A152-05C5408002CA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2015-10-30T09:45:00Z</dcterms:created>
  <dc:creator>Chinese User</dc:creator>
  <lastModifiedBy>Administrator</lastModifiedBy>
  <lastPrinted>2015-10-30T09:45:00Z</lastPrinted>
  <dcterms:modified xsi:type="dcterms:W3CDTF">2018-07-05T08:06:57Z</dcterms:modified>
  <revision>11</revision>
  <dc:title>深圳市中小学艺术教育基地票务网络系统工程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